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glossary/footnotes.xml" ContentType="application/vnd.openxmlformats-officedocument.wordprocessingml.footnotes+xml"/>
  <Override PartName="/word/header1.xml" ContentType="application/vnd.openxmlformats-officedocument.wordprocessingml.header+xml"/>
  <Override PartName="/word/glossary/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3B12CA9" w14:textId="34B2D215">
      <w:pPr>
        <w:pBdr/>
        <w:spacing/>
        <w:ind/>
        <w:jc w:val="center"/>
        <w:rPr>
          <w:rFonts w:cs="SPD TheSans"/>
        </w:rPr>
      </w:pPr>
      <w:r>
        <w:rPr>
          <w:rFonts w:eastAsia="SPD TheSans" w:cs="SPD TheSans"/>
        </w:rPr>
        <mc:AlternateContent>
          <mc:Choice Requires="wpg">
            <w:drawing>
              <wp:inline xmlns:wp="http://schemas.openxmlformats.org/drawingml/2006/wordprocessingDrawing" distT="0" distB="0" distL="0" distR="0">
                <wp:extent cx="3311652" cy="1043940"/>
                <wp:effectExtent l="0" t="0" r="3175" b="3810"/>
                <wp:docPr id="1" name="Picture 1" descr="Logo SPD-Selbst Ak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13799" name="Picture 1"/>
                        <pic:cNvPicPr>
                          <a:picLocks noChangeAspect="1"/>
                        </pic:cNvPicPr>
                        <pic:nvPr/>
                      </pic:nvPicPr>
                      <pic:blipFill rotWithShape="1">
                        <a:blip r:embed="rId13"/>
                        <a:stretch/>
                      </pic:blipFill>
                      <pic:spPr bwMode="auto">
                        <a:xfrm>
                          <a:off x="0" y="0"/>
                          <a:ext cx="3311651" cy="10439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60.76pt;height:82.20pt;mso-wrap-distance-left:0.00pt;mso-wrap-distance-top:0.00pt;mso-wrap-distance-right:0.00pt;mso-wrap-distance-bottom:0.00pt;z-index:1;" stroked="false">
                <v:imagedata r:id="rId13" o:title=""/>
                <o:lock v:ext="edit" rotation="t"/>
              </v:shape>
            </w:pict>
          </mc:Fallback>
        </mc:AlternateContent>
      </w:r>
      <w:r>
        <w:rPr>
          <w:rFonts w:cs="SPD TheSans"/>
        </w:rPr>
      </w:r>
      <w:r>
        <w:rPr>
          <w:rFonts w:cs="SPD TheSans"/>
        </w:rPr>
      </w:r>
    </w:p>
    <w:p w14:paraId="5F0B2509" w14:textId="27C9EE93">
      <w:pPr>
        <w:pBdr/>
        <w:spacing/>
        <w:ind/>
        <w:jc w:val="center"/>
        <w:rPr>
          <w:rFonts w:cs="SPD TheSans"/>
          <w:b/>
          <w:bCs/>
          <w:color w:val="ff0000"/>
        </w:rPr>
      </w:pPr>
      <w:r>
        <w:rPr>
          <w:rFonts w:eastAsia="SPD TheSans" w:cs="SPD TheSans"/>
          <w:b/>
          <w:bCs/>
          <w:color w:val="ff0000"/>
        </w:rPr>
        <w:t xml:space="preserve">Kurier 2026-04</w:t>
      </w:r>
      <w:r>
        <w:rPr>
          <w:rFonts w:cs="SPD TheSans"/>
          <w:b/>
          <w:bCs/>
          <w:color w:val="ff0000"/>
        </w:rPr>
      </w:r>
      <w:r>
        <w:rPr>
          <w:rFonts w:cs="SPD TheSans"/>
          <w:b/>
          <w:bCs/>
          <w:color w:val="ff0000"/>
        </w:rPr>
      </w:r>
    </w:p>
    <w:p w14:paraId="4998BBB6" w14:textId="77777777">
      <w:pPr>
        <w:pBdr/>
        <w:spacing/>
        <w:ind/>
        <w:rPr>
          <w:rFonts w:cs="SPD TheSans"/>
        </w:rPr>
      </w:pPr>
      <w:r>
        <w:rPr>
          <w:rFonts w:cs="SPD TheSans"/>
        </w:rPr>
      </w:r>
      <w:r>
        <w:rPr>
          <w:rFonts w:cs="SPD TheSans"/>
        </w:rPr>
      </w:r>
      <w:r>
        <w:rPr>
          <w:rFonts w:cs="SPD TheSans"/>
        </w:rPr>
      </w:r>
    </w:p>
    <w:p w14:paraId="428DE5A2" w14:textId="58A5012D">
      <w:pPr>
        <w:pStyle w:val="939"/>
        <w:pBdr/>
        <w:spacing/>
        <w:ind/>
        <w:rPr>
          <w14:ligatures w14:val="none"/>
        </w:rPr>
      </w:pPr>
      <w:r/>
      <w:bookmarkStart w:id="83" w:name="_Toc1"/>
      <w:r>
        <w:t xml:space="preserve">Vorwort</w:t>
      </w:r>
      <w:r/>
      <w:bookmarkEnd w:id="83"/>
      <w:r/>
      <w:r>
        <w:rPr>
          <w14:ligatures w14:val="none"/>
        </w:rPr>
      </w:r>
    </w:p>
    <w:p w14:paraId="0C708FED" w14:textId="77777777">
      <w:pPr>
        <w:pBdr/>
        <w:spacing/>
        <w:ind/>
        <w:rPr>
          <w:rFonts w:cs="SPD TheSans"/>
        </w:rPr>
      </w:pPr>
      <w:r>
        <w:rPr>
          <w:rFonts w:cs="SPD TheSans"/>
        </w:rPr>
        <w:t xml:space="preserve">Die allgemeine politische Lage in Deutschland, die politischen Wahlentscheidu</w:t>
      </w:r>
      <w:r>
        <w:rPr>
          <w:rFonts w:cs="SPD TheSans"/>
        </w:rPr>
        <w:t xml:space="preserve">ngen der Bürgerinnen und Bürger und die weitere Erstarkung rechter Sichtweisen und Parteien geben auch dem Bundesvorstand der AG Selbst Aktiv gewaltig zu denken und führt zu Befürchtungen, dass die Inklusion statt Fortschritte Rückschritte erleiden wird. D</w:t>
      </w:r>
      <w:r>
        <w:rPr>
          <w:rFonts w:cs="SPD TheSans"/>
        </w:rPr>
        <w:t xml:space="preserve">er stete Kampf um Barrierefreiheit und Gleichstellung in der Gesellschaft führen zu Verdruss. Menschen mit Behinderungen geben sich fatal ihren Schicksalen hin und dies führt unter Umständen dazu, dass am Ende der Kampf um Inklusion verloren gehen könnte. </w:t>
      </w:r>
      <w:r>
        <w:rPr>
          <w:rFonts w:cs="SPD TheSans"/>
        </w:rPr>
      </w:r>
      <w:r>
        <w:rPr>
          <w:rFonts w:cs="SPD TheSans"/>
        </w:rPr>
      </w:r>
    </w:p>
    <w:p w14:paraId="7328EF60" w14:textId="77777777">
      <w:pPr>
        <w:pBdr/>
        <w:spacing/>
        <w:ind/>
        <w:rPr>
          <w:rFonts w:cs="SPD TheSans"/>
        </w:rPr>
      </w:pPr>
      <w:r>
        <w:rPr>
          <w:rFonts w:cs="SPD TheSans"/>
        </w:rPr>
        <w:t xml:space="preserve">Der Selbst Aktiv-Bundesvorstand hat sich diesbezüglich in ihrer Pressemitteilung vom 14. September 2026 klar positioniert: </w:t>
      </w:r>
      <w:r>
        <w:rPr>
          <w:rFonts w:cs="SPD TheSans"/>
        </w:rPr>
      </w:r>
      <w:r>
        <w:rPr>
          <w:rFonts w:cs="SPD TheSans"/>
        </w:rPr>
      </w:r>
    </w:p>
    <w:p w14:paraId="1CC3A03B" w14:textId="77777777">
      <w:pPr>
        <w:pBdr/>
        <w:spacing/>
        <w:ind/>
        <w:rPr>
          <w:b/>
          <w:bCs/>
        </w:rPr>
      </w:pPr>
      <w:r>
        <w:rPr>
          <w:b/>
          <w:bCs/>
        </w:rPr>
        <w:t xml:space="preserve">Die Inklusion ist kein „gescheitertes Experiment“!</w:t>
      </w:r>
      <w:r>
        <w:rPr>
          <w:b/>
          <w:bCs/>
        </w:rPr>
      </w:r>
      <w:r>
        <w:rPr>
          <w:b/>
          <w:bCs/>
        </w:rPr>
      </w:r>
    </w:p>
    <w:p w14:paraId="3EF839A5" w14:textId="77777777">
      <w:pPr>
        <w:pBdr/>
        <w:spacing/>
        <w:ind/>
        <w:rPr>
          <w:rFonts w:cs="SPD TheSans"/>
        </w:rPr>
      </w:pPr>
      <w:r>
        <w:rPr>
          <w:rFonts w:cs="SPD TheSans"/>
        </w:rPr>
      </w:r>
      <w:r>
        <w:rPr>
          <w:rFonts w:cs="SPD TheSans"/>
        </w:rPr>
      </w:r>
      <w:r>
        <w:rPr>
          <w:rFonts w:cs="SPD TheSans"/>
        </w:rPr>
      </w:r>
    </w:p>
    <w:p w14:paraId="0EE3A743" w14:textId="552472A6">
      <w:pPr>
        <w:pBdr/>
        <w:spacing/>
        <w:ind/>
        <w:rPr>
          <w:rFonts w:cs="SPD TheSans"/>
        </w:rPr>
      </w:pPr>
      <w:r>
        <w:rPr>
          <w:rFonts w:eastAsia="SPD TheSans" w:cs="SPD TheSans"/>
        </w:rPr>
        <w:t xml:space="preserve">Eure Selbst Aktiv-Redaktion</w:t>
      </w:r>
      <w:r>
        <w:rPr>
          <w:rFonts w:eastAsia="SPD TheSans" w:cs="SPD TheSans"/>
        </w:rPr>
        <w:br w:type="page" w:clear="all"/>
      </w:r>
      <w:r>
        <w:rPr>
          <w:rFonts w:cs="SPD TheSans"/>
        </w:rPr>
      </w:r>
      <w:r>
        <w:rPr>
          <w:rFonts w:cs="SPD TheSans"/>
        </w:rPr>
      </w:r>
    </w:p>
    <w:sdt>
      <w:sdtPr>
        <w15:appearance w15:val="boundingBox"/>
        <w:id w:val="1700105603"/>
        <w:placeholder>
          <w:docPart w:val="DefaultPlaceholder_TEXT"/>
        </w:placeholder>
        <w:docPartObj>
          <w:docPartGallery w:val="Table of Contents"/>
          <w:docPartUnique w:val="true"/>
        </w:docPartObj>
        <w:rPr>
          <w:rFonts w:cs="SPD TheSans"/>
        </w:rPr>
      </w:sdtPr>
      <w:sdtContent>
        <w:p w14:paraId="64A6597F">
          <w:pPr>
            <w:pStyle w:val="942"/>
            <w:pBdr/>
            <w:tabs>
              <w:tab w:val="right" w:leader="dot" w:pos="9072"/>
            </w:tabs>
            <w:spacing/>
            <w:ind/>
            <w:rPr>
              <w14:ligatures w14:val="none"/>
            </w:rPr>
          </w:pPr>
          <w:r>
            <w:fldChar w:fldCharType="begin"/>
          </w:r>
          <w:r>
            <w:instrText xml:space="preserve">TOC \o "1-9" \h </w:instrText>
          </w:r>
          <w:r>
            <w:fldChar w:fldCharType="separate"/>
          </w:r>
          <w:r>
            <w:rPr>
              <w:rFonts w:cs="SPD TheSans"/>
            </w:rPr>
          </w:r>
          <w:hyperlink w:tooltip="#_Toc1" w:anchor="_Toc1" w:history="1">
            <w:r>
              <w:rPr>
                <w:rStyle w:val="930"/>
              </w:rPr>
            </w:r>
            <w:r>
              <w:rPr>
                <w:rStyle w:val="930"/>
              </w:rPr>
              <w:t xml:space="preserve">Vorwort</w:t>
            </w:r>
            <w:r>
              <w:rPr>
                <w:rStyle w:val="930"/>
                <w14:ligatures w14:val="none"/>
              </w:rPr>
            </w:r>
            <w:r>
              <w:tab/>
            </w:r>
            <w:r>
              <w:fldChar w:fldCharType="begin"/>
              <w:instrText xml:space="preserve">PAGEREF _Toc1 \h</w:instrText>
              <w:fldChar w:fldCharType="separate"/>
              <w:t xml:space="preserve">1</w:t>
              <w:fldChar w:fldCharType="end"/>
            </w:r>
          </w:hyperlink>
          <w:r>
            <w:rPr>
              <w14:ligatures w14:val="none"/>
            </w:rPr>
          </w:r>
        </w:p>
        <w:p w14:paraId="12428F55">
          <w:pPr>
            <w:pStyle w:val="942"/>
            <w:pBdr/>
            <w:tabs>
              <w:tab w:val="right" w:leader="dot" w:pos="9072"/>
            </w:tabs>
            <w:spacing/>
            <w:ind/>
            <w:rPr>
              <w:rFonts w:cs="SPD TheSans"/>
              <w14:ligatures w14:val="none"/>
            </w:rPr>
          </w:pPr>
          <w:hyperlink w:tooltip="#_Toc2" w:anchor="_Toc2" w:history="1">
            <w:r>
              <w:rPr>
                <w:rStyle w:val="930"/>
              </w:rPr>
            </w:r>
            <w:r>
              <w:rPr>
                <w:rStyle w:val="930"/>
                <w:rFonts w:eastAsia="SPD TheSans" w:cs="SPD TheSans"/>
              </w:rPr>
              <w:t xml:space="preserve">Demokratie stärken – demokratische Rechte behinderter Menschen ausbauen</w:t>
            </w:r>
            <w:r>
              <w:rPr>
                <w:rStyle w:val="930"/>
                <w:rFonts w:cs="SPD TheSans"/>
                <w14:ligatures w14:val="none"/>
              </w:rPr>
            </w:r>
            <w:r>
              <w:tab/>
            </w:r>
            <w:r>
              <w:fldChar w:fldCharType="begin"/>
              <w:instrText xml:space="preserve">PAGEREF _Toc2 \h</w:instrText>
              <w:fldChar w:fldCharType="separate"/>
              <w:t xml:space="preserve">3</w:t>
              <w:fldChar w:fldCharType="end"/>
            </w:r>
          </w:hyperlink>
          <w:r>
            <w:rPr>
              <w:rFonts w:cs="SPD TheSans"/>
              <w14:ligatures w14:val="none"/>
            </w:rPr>
          </w:r>
        </w:p>
        <w:p w14:paraId="6B39B73B">
          <w:pPr>
            <w:pStyle w:val="942"/>
            <w:pBdr/>
            <w:tabs>
              <w:tab w:val="right" w:leader="dot" w:pos="9072"/>
            </w:tabs>
            <w:spacing/>
            <w:ind/>
            <w:rPr>
              <w:rFonts w:cs="SPD TheSans"/>
              <w14:ligatures w14:val="none"/>
            </w:rPr>
          </w:pPr>
          <w:hyperlink w:tooltip="#_Toc3" w:anchor="_Toc3" w:history="1">
            <w:r>
              <w:rPr>
                <w:rStyle w:val="930"/>
              </w:rPr>
            </w:r>
            <w:r>
              <w:rPr>
                <w:rStyle w:val="930"/>
                <w:rFonts w:eastAsia="SPD TheSans" w:cs="SPD TheSans"/>
              </w:rPr>
              <w:t xml:space="preserve">Menschen mit Behinderungen gehören dazu</w:t>
            </w:r>
            <w:r>
              <w:rPr>
                <w:rStyle w:val="930"/>
                <w:rFonts w:eastAsia="SPD TheSans" w:cs="SPD TheSans"/>
              </w:rPr>
              <w:t xml:space="preserve"> </w:t>
            </w:r>
            <w:r>
              <w:rPr>
                <w:rStyle w:val="930"/>
                <w:rFonts w:eastAsia="SPD TheSans" w:cs="SPD TheSans"/>
                <w:i/>
                <w:iCs/>
              </w:rPr>
              <w:t xml:space="preserve">PM: AG Selbst Aktiv Bundesvorstand vom 14. September 2026</w:t>
            </w:r>
            <w:r>
              <w:rPr>
                <w:rStyle w:val="930"/>
                <w:rFonts w:cs="SPD TheSans"/>
                <w14:ligatures w14:val="none"/>
              </w:rPr>
            </w:r>
            <w:r>
              <w:tab/>
            </w:r>
            <w:r>
              <w:fldChar w:fldCharType="begin"/>
              <w:instrText xml:space="preserve">PAGEREF _Toc3 \h</w:instrText>
              <w:fldChar w:fldCharType="separate"/>
              <w:t xml:space="preserve">4</w:t>
              <w:fldChar w:fldCharType="end"/>
            </w:r>
          </w:hyperlink>
          <w:r>
            <w:rPr>
              <w:rFonts w:cs="SPD TheSans"/>
              <w14:ligatures w14:val="none"/>
            </w:rPr>
          </w:r>
        </w:p>
        <w:p w14:paraId="65327538">
          <w:pPr>
            <w:pStyle w:val="942"/>
            <w:pBdr/>
            <w:tabs>
              <w:tab w:val="right" w:leader="dot" w:pos="9072"/>
            </w:tabs>
            <w:spacing/>
            <w:ind/>
            <w:rPr>
              <w:highlight w:val="none"/>
              <w14:ligatures w14:val="none"/>
            </w:rPr>
          </w:pPr>
          <w:hyperlink w:tooltip="#_Toc4" w:anchor="_Toc4" w:history="1">
            <w:r>
              <w:rPr>
                <w:rStyle w:val="930"/>
              </w:rPr>
            </w:r>
            <w:r>
              <w:rPr>
                <w:rStyle w:val="930"/>
              </w:rPr>
              <w:t xml:space="preserve">Katrin Gensecke kämpft im Parlament für die Rechte von Menschen mit Behinderungen</w:t>
            </w:r>
            <w:r>
              <w:rPr>
                <w:rStyle w:val="930"/>
                <w:highlight w:val="none"/>
                <w14:ligatures w14:val="none"/>
              </w:rPr>
            </w:r>
            <w:r>
              <w:tab/>
            </w:r>
            <w:r>
              <w:fldChar w:fldCharType="begin"/>
              <w:instrText xml:space="preserve">PAGEREF _Toc4 \h</w:instrText>
              <w:fldChar w:fldCharType="separate"/>
              <w:t xml:space="preserve">5</w:t>
              <w:fldChar w:fldCharType="end"/>
            </w:r>
          </w:hyperlink>
          <w:r>
            <w:rPr>
              <w:highlight w:val="none"/>
              <w14:ligatures w14:val="none"/>
            </w:rPr>
          </w:r>
        </w:p>
        <w:p w14:paraId="7DF0EFE7">
          <w:pPr>
            <w:pStyle w:val="942"/>
            <w:pBdr/>
            <w:tabs>
              <w:tab w:val="right" w:leader="dot" w:pos="9072"/>
            </w:tabs>
            <w:spacing/>
            <w:ind/>
            <w:rPr>
              <w:rFonts w:cs="SPD TheSans"/>
              <w14:ligatures w14:val="none"/>
            </w:rPr>
          </w:pPr>
          <w:hyperlink w:tooltip="#_Toc5" w:anchor="_Toc5" w:history="1">
            <w:r>
              <w:rPr>
                <w:rStyle w:val="930"/>
              </w:rPr>
            </w:r>
            <w:r>
              <w:rPr>
                <w:rStyle w:val="930"/>
              </w:rPr>
              <w:t xml:space="preserve">Es darf kein Weiter-so geben</w:t>
            </w:r>
            <w:r>
              <w:rPr>
                <w:rStyle w:val="930"/>
                <w:rFonts w:cs="SPD TheSans"/>
                <w14:ligatures w14:val="none"/>
              </w:rPr>
            </w:r>
            <w:r>
              <w:tab/>
            </w:r>
            <w:r>
              <w:fldChar w:fldCharType="begin"/>
              <w:instrText xml:space="preserve">PAGEREF _Toc5 \h</w:instrText>
              <w:fldChar w:fldCharType="separate"/>
              <w:t xml:space="preserve">7</w:t>
              <w:fldChar w:fldCharType="end"/>
            </w:r>
          </w:hyperlink>
          <w:r>
            <w:rPr>
              <w:rFonts w:cs="SPD TheSans"/>
              <w14:ligatures w14:val="none"/>
            </w:rPr>
          </w:r>
        </w:p>
        <w:p w14:paraId="0CCAB828">
          <w:pPr>
            <w:pStyle w:val="942"/>
            <w:pBdr/>
            <w:tabs>
              <w:tab w:val="right" w:leader="dot" w:pos="9072"/>
            </w:tabs>
            <w:spacing/>
            <w:ind/>
            <w:rPr>
              <w14:ligatures w14:val="none"/>
            </w:rPr>
          </w:pPr>
          <w:hyperlink w:tooltip="#_Toc6" w:anchor="_Toc6" w:history="1">
            <w:r>
              <w:rPr>
                <w:rStyle w:val="930"/>
              </w:rPr>
            </w:r>
            <w:r>
              <w:rPr>
                <w:rStyle w:val="930"/>
              </w:rPr>
              <w:t xml:space="preserve">Wir trauern um</w:t>
            </w:r>
            <w:r>
              <w:rPr>
                <w:rStyle w:val="930"/>
              </w:rPr>
              <w:t xml:space="preserve"> einen wertvollen Mitstreiter</w:t>
            </w:r>
            <w:r>
              <w:rPr>
                <w:rStyle w:val="930"/>
                <w14:ligatures w14:val="none"/>
              </w:rPr>
            </w:r>
            <w:r>
              <w:tab/>
            </w:r>
            <w:r>
              <w:fldChar w:fldCharType="begin"/>
              <w:instrText xml:space="preserve">PAGEREF _Toc6 \h</w:instrText>
              <w:fldChar w:fldCharType="separate"/>
              <w:t xml:space="preserve">9</w:t>
              <w:fldChar w:fldCharType="end"/>
            </w:r>
          </w:hyperlink>
          <w:r>
            <w:rPr>
              <w14:ligatures w14:val="none"/>
            </w:rPr>
          </w:r>
        </w:p>
        <w:p w14:paraId="5BA0A055">
          <w:pPr>
            <w:pStyle w:val="942"/>
            <w:pBdr/>
            <w:tabs>
              <w:tab w:val="right" w:leader="dot" w:pos="9072"/>
            </w:tabs>
            <w:spacing/>
            <w:ind/>
            <w:rPr>
              <w:rFonts w:cs="SPD TheSans"/>
              <w14:ligatures w14:val="none"/>
            </w:rPr>
          </w:pPr>
          <w:hyperlink w:tooltip="#_Toc7" w:anchor="_Toc7" w:history="1">
            <w:r>
              <w:rPr>
                <w:rStyle w:val="930"/>
              </w:rPr>
            </w:r>
            <w:r>
              <w:rPr>
                <w:rStyle w:val="930"/>
                <w:rFonts w:eastAsia="SPD TheSans" w:cs="SPD TheSans"/>
              </w:rPr>
              <w:t xml:space="preserve">Selbst Aktiv Rheinland-Pfalz</w:t>
            </w:r>
            <w:r>
              <w:rPr>
                <w:rStyle w:val="930"/>
                <w:rFonts w:cs="SPD TheSans"/>
                <w14:ligatures w14:val="none"/>
              </w:rPr>
            </w:r>
            <w:r>
              <w:tab/>
            </w:r>
            <w:r>
              <w:fldChar w:fldCharType="begin"/>
              <w:instrText xml:space="preserve">PAGEREF _Toc7 \h</w:instrText>
              <w:fldChar w:fldCharType="separate"/>
              <w:t xml:space="preserve">9</w:t>
              <w:fldChar w:fldCharType="end"/>
            </w:r>
          </w:hyperlink>
          <w:r>
            <w:rPr>
              <w:rFonts w:cs="SPD TheSans"/>
              <w14:ligatures w14:val="none"/>
            </w:rPr>
          </w:r>
        </w:p>
        <w:p w14:paraId="211B39EC">
          <w:pPr>
            <w:pStyle w:val="942"/>
            <w:pBdr/>
            <w:tabs>
              <w:tab w:val="right" w:leader="dot" w:pos="9072"/>
            </w:tabs>
            <w:spacing/>
            <w:ind/>
            <w:rPr>
              <w:rFonts w:cs="SPD TheSans"/>
              <w14:ligatures w14:val="none"/>
            </w:rPr>
          </w:pPr>
          <w:hyperlink w:tooltip="#_Toc8" w:anchor="_Toc8" w:history="1">
            <w:r>
              <w:rPr>
                <w:rStyle w:val="930"/>
              </w:rPr>
            </w:r>
            <w:r>
              <w:rPr>
                <w:rStyle w:val="930"/>
                <w:rFonts w:eastAsia="SPD TheSans" w:cs="SPD TheSans"/>
              </w:rPr>
              <w:t xml:space="preserve">Bundessozialgericht (BSG) zum Merkzeichen „erhebliche Gehbehinderung“ (G)</w:t>
            </w:r>
            <w:r>
              <w:rPr>
                <w:rStyle w:val="930"/>
                <w:rFonts w:cs="SPD TheSans"/>
                <w14:ligatures w14:val="none"/>
              </w:rPr>
            </w:r>
            <w:r>
              <w:tab/>
            </w:r>
            <w:r>
              <w:fldChar w:fldCharType="begin"/>
              <w:instrText xml:space="preserve">PAGEREF _Toc8 \h</w:instrText>
              <w:fldChar w:fldCharType="separate"/>
              <w:t xml:space="preserve">11</w:t>
              <w:fldChar w:fldCharType="end"/>
            </w:r>
          </w:hyperlink>
          <w:r>
            <w:rPr>
              <w:rFonts w:cs="SPD TheSans"/>
              <w14:ligatures w14:val="none"/>
            </w:rPr>
          </w:r>
        </w:p>
        <w:p w14:paraId="114035D7">
          <w:pPr>
            <w:pStyle w:val="942"/>
            <w:pBdr/>
            <w:tabs>
              <w:tab w:val="right" w:leader="dot" w:pos="9072"/>
            </w:tabs>
            <w:spacing/>
            <w:ind/>
            <w:rPr>
              <w:rFonts w:cs="SPD TheSans"/>
              <w14:ligatures w14:val="none"/>
            </w:rPr>
          </w:pPr>
          <w:hyperlink w:tooltip="#_Toc9" w:anchor="_Toc9" w:history="1">
            <w:r>
              <w:rPr>
                <w:rStyle w:val="930"/>
              </w:rPr>
            </w:r>
            <w:r>
              <w:rPr>
                <w:rStyle w:val="930"/>
                <w:rFonts w:eastAsia="SPD TheSans" w:cs="SPD TheSans"/>
                <w:lang w:bidi="de-DE"/>
              </w:rPr>
              <w:t xml:space="preserve">Fatales Signal für Schulbegleiter in Hamburg zu kürzen</w:t>
            </w:r>
            <w:r>
              <w:rPr>
                <w:rStyle w:val="930"/>
                <w:rFonts w:cs="SPD TheSans"/>
                <w14:ligatures w14:val="none"/>
              </w:rPr>
            </w:r>
            <w:r>
              <w:tab/>
            </w:r>
            <w:r>
              <w:fldChar w:fldCharType="begin"/>
              <w:instrText xml:space="preserve">PAGEREF _Toc9 \h</w:instrText>
              <w:fldChar w:fldCharType="separate"/>
              <w:t xml:space="preserve">12</w:t>
              <w:fldChar w:fldCharType="end"/>
            </w:r>
          </w:hyperlink>
          <w:r>
            <w:rPr>
              <w:rFonts w:cs="SPD TheSans"/>
              <w14:ligatures w14:val="none"/>
            </w:rPr>
          </w:r>
        </w:p>
        <w:p w14:paraId="2966C532">
          <w:pPr>
            <w:pStyle w:val="942"/>
            <w:pBdr/>
            <w:tabs>
              <w:tab w:val="right" w:leader="dot" w:pos="9072"/>
            </w:tabs>
            <w:spacing/>
            <w:ind/>
            <w:rPr>
              <w14:ligatures w14:val="none"/>
            </w:rPr>
          </w:pPr>
          <w:hyperlink w:tooltip="#_Toc10" w:anchor="_Toc10" w:history="1">
            <w:r>
              <w:rPr>
                <w:rStyle w:val="930"/>
              </w:rPr>
            </w:r>
            <w:r>
              <w:rPr>
                <w:rStyle w:val="930"/>
                <w:lang w:bidi="de-DE"/>
              </w:rPr>
              <w:t xml:space="preserve">Jahresbericht 2025 der Bundesarbeitsgemeinschaft Inklusionsfirmen (</w:t>
            </w:r>
            <w:r>
              <w:rPr>
                <w:rStyle w:val="930"/>
                <w:lang w:bidi="de-DE"/>
              </w:rPr>
              <w:t xml:space="preserve">bag</w:t>
            </w:r>
            <w:r>
              <w:rPr>
                <w:rStyle w:val="930"/>
                <w:lang w:bidi="de-DE"/>
              </w:rPr>
              <w:t xml:space="preserve"> </w:t>
            </w:r>
            <w:r>
              <w:rPr>
                <w:rStyle w:val="930"/>
                <w:lang w:bidi="de-DE"/>
              </w:rPr>
              <w:t xml:space="preserve">if</w:t>
            </w:r>
            <w:r>
              <w:rPr>
                <w:rStyle w:val="930"/>
                <w:lang w:bidi="de-DE"/>
              </w:rPr>
              <w:t xml:space="preserve">)</w:t>
            </w:r>
            <w:r>
              <w:rPr>
                <w:rStyle w:val="930"/>
                <w14:ligatures w14:val="none"/>
              </w:rPr>
            </w:r>
            <w:r>
              <w:tab/>
            </w:r>
            <w:r>
              <w:fldChar w:fldCharType="begin"/>
              <w:instrText xml:space="preserve">PAGEREF _Toc10 \h</w:instrText>
              <w:fldChar w:fldCharType="separate"/>
              <w:t xml:space="preserve">13</w:t>
              <w:fldChar w:fldCharType="end"/>
            </w:r>
          </w:hyperlink>
          <w:r>
            <w:rPr>
              <w14:ligatures w14:val="none"/>
            </w:rPr>
          </w:r>
        </w:p>
        <w:p w14:paraId="1CBB0349">
          <w:pPr>
            <w:pStyle w:val="942"/>
            <w:pBdr/>
            <w:tabs>
              <w:tab w:val="right" w:leader="dot" w:pos="9072"/>
            </w:tabs>
            <w:spacing/>
            <w:ind/>
            <w:rPr>
              <w:rFonts w:cs="SPD TheSans"/>
              <w14:ligatures w14:val="none"/>
            </w:rPr>
          </w:pPr>
          <w:hyperlink w:tooltip="#_Toc11" w:anchor="_Toc11" w:history="1">
            <w:r>
              <w:rPr>
                <w:rStyle w:val="930"/>
              </w:rPr>
            </w:r>
            <w:r>
              <w:rPr>
                <w:rStyle w:val="930"/>
                <w:rFonts w:eastAsia="SPD TheSans" w:cs="SPD TheSans"/>
              </w:rPr>
              <w:t xml:space="preserve">ADAC Test: Wie barrierefrei ist der Nahverkehr?</w:t>
            </w:r>
            <w:r>
              <w:rPr>
                <w:rStyle w:val="930"/>
                <w:rFonts w:cs="SPD TheSans"/>
                <w14:ligatures w14:val="none"/>
              </w:rPr>
            </w:r>
            <w:r>
              <w:tab/>
            </w:r>
            <w:r>
              <w:fldChar w:fldCharType="begin"/>
              <w:instrText xml:space="preserve">PAGEREF _Toc11 \h</w:instrText>
              <w:fldChar w:fldCharType="separate"/>
              <w:t xml:space="preserve">15</w:t>
              <w:fldChar w:fldCharType="end"/>
            </w:r>
          </w:hyperlink>
          <w:r>
            <w:rPr>
              <w:rFonts w:cs="SPD TheSans"/>
              <w14:ligatures w14:val="none"/>
            </w:rPr>
          </w:r>
        </w:p>
        <w:p w14:paraId="4284AEEE">
          <w:pPr>
            <w:pStyle w:val="942"/>
            <w:pBdr/>
            <w:tabs>
              <w:tab w:val="right" w:leader="dot" w:pos="9072"/>
            </w:tabs>
            <w:spacing/>
            <w:ind/>
            <w:rPr>
              <w:rFonts w:cs="SPD TheSans"/>
              <w14:ligatures w14:val="none"/>
            </w:rPr>
          </w:pPr>
          <w:hyperlink w:tooltip="#_Toc12" w:anchor="_Toc12" w:history="1">
            <w:r>
              <w:rPr>
                <w:rStyle w:val="930"/>
              </w:rPr>
            </w:r>
            <w:r>
              <w:rPr>
                <w:rStyle w:val="930"/>
                <w:rFonts w:eastAsia="SPD TheSans" w:cs="SPD TheSans"/>
                <w:lang w:bidi="de-DE"/>
              </w:rPr>
              <w:t xml:space="preserve">Landesarbeitsgericht (LAG) Köln zur Kündigung wegen nicht angegebener Schwerbehinderteneigenschaft</w:t>
            </w:r>
            <w:r>
              <w:rPr>
                <w:rStyle w:val="930"/>
                <w:rFonts w:cs="SPD TheSans"/>
                <w14:ligatures w14:val="none"/>
              </w:rPr>
            </w:r>
            <w:r>
              <w:tab/>
            </w:r>
            <w:r>
              <w:fldChar w:fldCharType="begin"/>
              <w:instrText xml:space="preserve">PAGEREF _Toc12 \h</w:instrText>
              <w:fldChar w:fldCharType="separate"/>
              <w:t xml:space="preserve">15</w:t>
              <w:fldChar w:fldCharType="end"/>
            </w:r>
          </w:hyperlink>
          <w:r>
            <w:rPr>
              <w:rFonts w:cs="SPD TheSans"/>
              <w14:ligatures w14:val="none"/>
            </w:rPr>
          </w:r>
        </w:p>
        <w:p w14:paraId="194DA08E">
          <w:pPr>
            <w:pStyle w:val="942"/>
            <w:pBdr/>
            <w:tabs>
              <w:tab w:val="right" w:leader="dot" w:pos="9072"/>
            </w:tabs>
            <w:spacing/>
            <w:ind/>
            <w:rPr>
              <w:rFonts w:cs="SPD TheSans"/>
            </w:rPr>
          </w:pPr>
          <w:hyperlink w:tooltip="#_Toc13" w:anchor="_Toc13" w:history="1">
            <w:r>
              <w:rPr>
                <w:rStyle w:val="930"/>
              </w:rPr>
            </w:r>
            <w:r>
              <w:rPr>
                <w:rStyle w:val="930"/>
                <w:rFonts w:eastAsia="SPD TheSans" w:cs="SPD TheSans"/>
                <w:lang w:bidi="de-DE"/>
              </w:rPr>
              <w:t xml:space="preserve">Studie des Deutschen Instituts für Menschenrechte (DIMR) zur Inklusiven Bildung</w:t>
            </w:r>
            <w:r>
              <w:rPr>
                <w:rStyle w:val="930"/>
                <w:rFonts w:cs="SPD TheSans"/>
              </w:rPr>
            </w:r>
            <w:r>
              <w:tab/>
            </w:r>
            <w:r>
              <w:fldChar w:fldCharType="begin"/>
              <w:instrText xml:space="preserve">PAGEREF _Toc13 \h</w:instrText>
              <w:fldChar w:fldCharType="separate"/>
              <w:t xml:space="preserve">16</w:t>
              <w:fldChar w:fldCharType="end"/>
            </w:r>
          </w:hyperlink>
          <w:r>
            <w:rPr>
              <w:rFonts w:cs="SPD TheSans"/>
            </w:rPr>
          </w:r>
        </w:p>
        <w:p w14:paraId="69E1AF64">
          <w:pPr>
            <w:pStyle w:val="942"/>
            <w:pBdr/>
            <w:tabs>
              <w:tab w:val="right" w:leader="dot" w:pos="9072"/>
            </w:tabs>
            <w:spacing/>
            <w:ind/>
            <w:rPr>
              <w:rFonts w:cs="SPD TheSans"/>
              <w14:ligatures w14:val="none"/>
            </w:rPr>
          </w:pPr>
          <w:hyperlink w:tooltip="#_Toc14" w:anchor="_Toc14" w:history="1">
            <w:r>
              <w:rPr>
                <w:rStyle w:val="930"/>
              </w:rPr>
            </w:r>
            <w:r>
              <w:rPr>
                <w:rStyle w:val="930"/>
                <w:rFonts w:eastAsia="SPD TheSans" w:cs="SPD TheSans"/>
              </w:rPr>
              <w:t xml:space="preserve">BIH Jahresbericht 2024</w:t>
            </w:r>
            <w:r>
              <w:rPr>
                <w:rStyle w:val="930"/>
                <w:rFonts w:cs="SPD TheSans"/>
                <w14:ligatures w14:val="none"/>
              </w:rPr>
            </w:r>
            <w:r>
              <w:tab/>
            </w:r>
            <w:r>
              <w:fldChar w:fldCharType="begin"/>
              <w:instrText xml:space="preserve">PAGEREF _Toc14 \h</w:instrText>
              <w:fldChar w:fldCharType="separate"/>
              <w:t xml:space="preserve">17</w:t>
              <w:fldChar w:fldCharType="end"/>
            </w:r>
          </w:hyperlink>
          <w:r>
            <w:rPr>
              <w:rFonts w:cs="SPD TheSans"/>
              <w14:ligatures w14:val="none"/>
            </w:rPr>
          </w:r>
        </w:p>
        <w:p w14:paraId="7B2AC517">
          <w:pPr>
            <w:pStyle w:val="942"/>
            <w:pBdr/>
            <w:tabs>
              <w:tab w:val="right" w:leader="dot" w:pos="9072"/>
            </w:tabs>
            <w:spacing/>
            <w:ind/>
            <w:rPr>
              <w:rFonts w:cs="SPD TheSans"/>
            </w:rPr>
          </w:pPr>
          <w:hyperlink w:tooltip="#_Toc15" w:anchor="_Toc15" w:history="1">
            <w:r>
              <w:rPr>
                <w:rStyle w:val="930"/>
              </w:rPr>
            </w:r>
            <w:r>
              <w:rPr>
                <w:rStyle w:val="930"/>
                <w:rFonts w:eastAsia="SPD TheSans" w:cs="SPD TheSans"/>
              </w:rPr>
              <w:t xml:space="preserve">Hinweise zum Selbst Aktiv-Newsletter „Kurier“</w:t>
            </w:r>
            <w:r>
              <w:rPr>
                <w:rStyle w:val="930"/>
                <w:rFonts w:cs="SPD TheSans"/>
              </w:rPr>
            </w:r>
            <w:r>
              <w:tab/>
            </w:r>
            <w:r>
              <w:fldChar w:fldCharType="begin"/>
              <w:instrText xml:space="preserve">PAGEREF _Toc15 \h</w:instrText>
              <w:fldChar w:fldCharType="separate"/>
              <w:t xml:space="preserve">19</w:t>
              <w:fldChar w:fldCharType="end"/>
            </w:r>
          </w:hyperlink>
          <w:r>
            <w:rPr>
              <w:rFonts w:cs="SPD TheSans"/>
            </w:rPr>
          </w:r>
        </w:p>
        <w:p w14:paraId="78DE07D4">
          <w:pPr>
            <w:pStyle w:val="942"/>
            <w:pBdr/>
            <w:tabs>
              <w:tab w:val="right" w:leader="dot" w:pos="9072"/>
            </w:tabs>
            <w:spacing/>
            <w:ind/>
            <w:rPr>
              <w:rFonts w:cs="SPD TheSans"/>
            </w:rPr>
          </w:pPr>
          <w:hyperlink w:tooltip="#_Toc16" w:anchor="_Toc16" w:history="1">
            <w:r>
              <w:rPr>
                <w:rStyle w:val="930"/>
              </w:rPr>
            </w:r>
            <w:r>
              <w:rPr>
                <w:rStyle w:val="930"/>
                <w:rFonts w:eastAsia="SPD TheSans" w:cs="SPD TheSans"/>
              </w:rPr>
              <w:t xml:space="preserve">Impressum:</w:t>
            </w:r>
            <w:r>
              <w:rPr>
                <w:rStyle w:val="930"/>
                <w:rFonts w:cs="SPD TheSans"/>
              </w:rPr>
            </w:r>
            <w:r>
              <w:tab/>
            </w:r>
            <w:r>
              <w:fldChar w:fldCharType="begin"/>
              <w:instrText xml:space="preserve">PAGEREF _Toc16 \h</w:instrText>
              <w:fldChar w:fldCharType="separate"/>
              <w:t xml:space="preserve">19</w:t>
              <w:fldChar w:fldCharType="end"/>
            </w:r>
          </w:hyperlink>
          <w:r>
            <w:rPr>
              <w:rFonts w:cs="SPD TheSans"/>
            </w:rPr>
          </w:r>
        </w:p>
        <w:p w14:paraId="21D05444">
          <w:pPr>
            <w:pBdr/>
            <w:spacing/>
            <w:ind/>
            <w:rPr>
              <w:rFonts w:cs="SPD TheSans"/>
            </w:rPr>
          </w:pPr>
          <w:r/>
          <w:r>
            <w:fldChar w:fldCharType="end"/>
          </w:r>
          <w:r/>
          <w:r/>
        </w:p>
      </w:sdtContent>
    </w:sdt>
    <w:p w14:paraId="56E1C947" w14:textId="77777777">
      <w:pPr>
        <w:pStyle w:val="939"/>
        <w:pBdr/>
        <w:spacing/>
        <w:ind/>
        <w:rPr>
          <w:rFonts w:cs="SPD TheSans"/>
          <w:sz w:val="28"/>
          <w:szCs w:val="28"/>
        </w:rPr>
      </w:pPr>
      <w:r>
        <w:rPr>
          <w:rFonts w:cs="SPD TheSans"/>
          <w:sz w:val="28"/>
          <w:szCs w:val="28"/>
        </w:rPr>
      </w:r>
      <w:r>
        <w:rPr>
          <w:rFonts w:cs="SPD TheSans"/>
          <w:sz w:val="28"/>
          <w:szCs w:val="28"/>
        </w:rPr>
      </w:r>
      <w:r>
        <w:rPr>
          <w:rFonts w:cs="SPD TheSans"/>
          <w:sz w:val="28"/>
          <w:szCs w:val="28"/>
        </w:rPr>
      </w:r>
    </w:p>
    <w:p w14:paraId="087CF0BF" w14:textId="77777777">
      <w:pPr>
        <w:pBdr/>
        <w:spacing/>
        <w:ind/>
        <w:rPr>
          <w:rFonts w:cs="SPD TheSans"/>
        </w:rPr>
      </w:pPr>
      <w:r>
        <w:rPr>
          <w:rFonts w:cs="SPD TheSans"/>
        </w:rPr>
        <w:br w:type="page" w:clear="all"/>
      </w:r>
      <w:r>
        <w:rPr>
          <w:rFonts w:cs="SPD TheSans"/>
        </w:rPr>
      </w:r>
      <w:r>
        <w:rPr>
          <w:rFonts w:cs="SPD TheSans"/>
        </w:rPr>
      </w:r>
    </w:p>
    <w:p w14:paraId="0A3F4899" w14:textId="77777777">
      <w:pPr>
        <w:pStyle w:val="939"/>
        <w:pBdr/>
        <w:spacing/>
        <w:ind/>
        <w:rPr>
          <w:rFonts w:cs="SPD TheSans"/>
          <w14:ligatures w14:val="none"/>
        </w:rPr>
      </w:pPr>
      <w:r/>
      <w:bookmarkStart w:id="84" w:name="_Toc2"/>
      <w:r>
        <w:rPr>
          <w:rFonts w:eastAsia="SPD TheSans" w:cs="SPD TheSans"/>
        </w:rPr>
        <w:t xml:space="preserve">Demokratie stärken – demokratische Rechte behinderter Menschen ausbauen</w:t>
      </w:r>
      <w:r/>
      <w:bookmarkEnd w:id="84"/>
      <w:r/>
      <w:r>
        <w:rPr>
          <w:rFonts w:cs="SPD TheSans"/>
          <w14:ligatures w14:val="none"/>
        </w:rPr>
      </w:r>
    </w:p>
    <w:p w14:paraId="3F3DB853" w14:textId="77777777">
      <w:pPr>
        <w:pBdr/>
        <w:spacing/>
        <w:ind/>
        <w:rPr>
          <w:rFonts w:cs="SPD TheSans"/>
          <w:bCs/>
          <w:i/>
          <w:sz w:val="24"/>
          <w:szCs w:val="24"/>
        </w:rPr>
      </w:pPr>
      <w:r>
        <w:rPr>
          <w:rFonts w:eastAsia="SPD TheSans" w:cs="SPD TheSans"/>
          <w:i/>
          <w:iCs/>
          <w:sz w:val="24"/>
          <w:szCs w:val="24"/>
        </w:rPr>
        <w:t xml:space="preserve">PM: AG Selbst Aktiv vom 28.Juli 2026</w:t>
      </w:r>
      <w:r>
        <w:rPr>
          <w:rFonts w:cs="SPD TheSans"/>
          <w:bCs/>
          <w:i/>
          <w:sz w:val="24"/>
          <w:szCs w:val="24"/>
        </w:rPr>
      </w:r>
      <w:r>
        <w:rPr>
          <w:rFonts w:cs="SPD TheSans"/>
          <w:bCs/>
          <w:i/>
          <w:sz w:val="24"/>
          <w:szCs w:val="24"/>
        </w:rPr>
      </w:r>
    </w:p>
    <w:p w14:paraId="4873BB6A" w14:textId="77777777">
      <w:pPr>
        <w:pBdr/>
        <w:spacing/>
        <w:ind/>
        <w:rPr>
          <w:rFonts w:cs="SPD TheSans"/>
        </w:rPr>
      </w:pPr>
      <w:r>
        <w:rPr>
          <w:rFonts w:eastAsia="SPD TheSans" w:cs="SPD TheSans"/>
        </w:rPr>
        <w:t xml:space="preserve">40 politische </w:t>
      </w:r>
      <w:r>
        <w:rPr>
          <w:rFonts w:eastAsia="SPD TheSans" w:cs="SPD TheSans"/>
        </w:rPr>
        <w:t xml:space="preserve">Multiplikatorinnen</w:t>
      </w:r>
      <w:r>
        <w:rPr>
          <w:rFonts w:eastAsia="SPD TheSans" w:cs="SPD TheSans"/>
        </w:rPr>
        <w:t xml:space="preserve"> und Multiplikatoren treffen sich in Magdeburg zu einer bundesweiten Aktion für Barrierefreiheit, eine inklusive Gesellschaft und volle politische Mitentscheidung behinderter Menschen auf Initiative von Selbst Aktiv.</w:t>
      </w:r>
      <w:r>
        <w:rPr>
          <w:rFonts w:cs="SPD TheSans"/>
        </w:rPr>
      </w:r>
      <w:r>
        <w:rPr>
          <w:rFonts w:cs="SPD TheSans"/>
        </w:rPr>
      </w:r>
    </w:p>
    <w:p w14:paraId="27C4FFD3" w14:textId="77777777">
      <w:pPr>
        <w:pBdr/>
        <w:spacing/>
        <w:ind/>
        <w:rPr>
          <w:rFonts w:cs="SPD TheSans"/>
        </w:rPr>
      </w:pPr>
      <w:r>
        <w:rPr>
          <w:rFonts w:eastAsia="SPD TheSans" w:cs="SPD TheSans"/>
        </w:rPr>
        <w:t xml:space="preserve">Im Sinne einer „w</w:t>
      </w:r>
      <w:r>
        <w:rPr>
          <w:rFonts w:eastAsia="SPD TheSans" w:cs="SPD TheSans"/>
        </w:rPr>
        <w:t xml:space="preserve">ehrhaften Demokratie“ und einer Demokratie für Alle im Sinne der UN-Behindertenrechtskonvention wurde der politische Wille für Demokratie, Menschenwürde und volle Teilhabe sowie Mitentscheidung behinderter Menschen in Politik und Gesellschaft eingebracht. </w:t>
      </w:r>
      <w:r>
        <w:rPr>
          <w:rFonts w:eastAsia="SPD TheSans" w:cs="SPD TheSans"/>
        </w:rPr>
        <w:t xml:space="preserve">„Wir sind hier, wir wollen gemeinsam mit demokratischen Bürgerinnen und Bürgern für den Ausbau demokratischer Rechte auf Bundesebene, aber jetzt konkret in Sachsen-Anhalt, Berlin und Mecklenburg-Vorpommern kämpfen“, erklärten die Bundesvorsitzenden Katrin </w:t>
      </w:r>
      <w:r>
        <w:rPr>
          <w:rFonts w:eastAsia="SPD TheSans" w:cs="SPD TheSans"/>
        </w:rPr>
        <w:t xml:space="preserve">Gensecke</w:t>
      </w:r>
      <w:r>
        <w:rPr>
          <w:rFonts w:eastAsia="SPD TheSans" w:cs="SPD TheSans"/>
        </w:rPr>
        <w:t xml:space="preserve"> und Karl Finke eingangs in Magdeburg. </w:t>
      </w:r>
      <w:r>
        <w:rPr>
          <w:rFonts w:cs="SPD TheSans"/>
        </w:rPr>
      </w:r>
      <w:r>
        <w:rPr>
          <w:rFonts w:cs="SPD TheSans"/>
        </w:rPr>
      </w:r>
    </w:p>
    <w:p w14:paraId="34B454C1" w14:textId="77777777">
      <w:pPr>
        <w:pBdr/>
        <w:spacing/>
        <w:ind/>
        <w:rPr>
          <w:rFonts w:cs="SPD TheSans"/>
        </w:rPr>
      </w:pPr>
      <w:r>
        <w:rPr>
          <w:rFonts w:eastAsia="SPD TheSans" w:cs="SPD TheSans"/>
        </w:rPr>
        <w:t xml:space="preserve">Katrin </w:t>
      </w:r>
      <w:r>
        <w:rPr>
          <w:rFonts w:eastAsia="SPD TheSans" w:cs="SPD TheSans"/>
        </w:rPr>
        <w:t xml:space="preserve">Gensecke</w:t>
      </w:r>
      <w:r>
        <w:rPr>
          <w:rFonts w:eastAsia="SPD TheSans" w:cs="SPD TheSans"/>
        </w:rPr>
        <w:t xml:space="preserve"> ist ebenfalls Landtagsabgeordnete im sachsen-anhaltinischen Landtag und somit Gesic</w:t>
      </w:r>
      <w:r>
        <w:rPr>
          <w:rFonts w:eastAsia="SPD TheSans" w:cs="SPD TheSans"/>
        </w:rPr>
        <w:t xml:space="preserve">ht und Stimme behinderter Menschen in diesem Bundesland. Moderiert wurde die Veranstaltung von dem Landtagsabgeordneten Falko Grube, der deutlich machte, dass für das politische Handeln der SPD, Barrierefreiheit und Inklusion Ecksteine ihres Handelns sein.</w:t>
      </w:r>
      <w:r>
        <w:rPr>
          <w:rFonts w:cs="SPD TheSans"/>
        </w:rPr>
      </w:r>
      <w:r>
        <w:rPr>
          <w:rFonts w:cs="SPD TheSans"/>
        </w:rPr>
      </w:r>
    </w:p>
    <w:p w14:paraId="0F7A2E7A" w14:textId="77777777">
      <w:pPr>
        <w:pBdr/>
        <w:spacing/>
        <w:ind/>
        <w:rPr>
          <w:rFonts w:cs="SPD TheSans"/>
        </w:rPr>
      </w:pPr>
      <w:r>
        <w:rPr>
          <w:rFonts w:eastAsia="SPD TheSans" w:cs="SPD TheSans"/>
        </w:rPr>
        <w:t xml:space="preserve">Karl Finke machte eingangs deutlich, dass die Frage von rückwärtsgewandter </w:t>
      </w:r>
      <w:r>
        <w:rPr>
          <w:rFonts w:eastAsia="SPD TheSans" w:cs="SPD TheSans"/>
        </w:rPr>
        <w:t xml:space="preserve">Politik und der Beschneidung der Rechte und Lebensqualität behinderter Menschen eine Bedrohung bundesweit ist und wir rechtzeitig uns wehren müssen, sowie unsere Stimme für inklusive Bildung, inklusive Arbeit und gemeinschaftsorientierte Wohnformen erheben</w:t>
      </w:r>
      <w:r>
        <w:rPr>
          <w:rFonts w:eastAsia="SPD TheSans" w:cs="SPD TheSans"/>
        </w:rPr>
        <w:t xml:space="preserve"> müssen. „Wir haben nicht vergessen: Die Grundgesetzänderung zugunsten behinderter Menschen und die Wahlrechtsnovellierung zugunsten des Wahlrechts behinderter Menschen wäre ohne das Handeln von uns direkt so nicht gekommen“, machten Karl Finke und Katrin </w:t>
      </w:r>
      <w:r>
        <w:rPr>
          <w:rFonts w:eastAsia="SPD TheSans" w:cs="SPD TheSans"/>
        </w:rPr>
        <w:t xml:space="preserve">Gensecke</w:t>
      </w:r>
      <w:r>
        <w:rPr>
          <w:rFonts w:eastAsia="SPD TheSans" w:cs="SPD TheSans"/>
        </w:rPr>
        <w:t xml:space="preserve"> nochmals deutlich.</w:t>
      </w:r>
      <w:r>
        <w:rPr>
          <w:rFonts w:cs="SPD TheSans"/>
        </w:rPr>
      </w:r>
      <w:r>
        <w:rPr>
          <w:rFonts w:cs="SPD TheSans"/>
        </w:rPr>
      </w:r>
    </w:p>
    <w:p w14:paraId="4E437A84" w14:textId="77777777">
      <w:pPr>
        <w:pBdr/>
        <w:spacing/>
        <w:ind/>
        <w:rPr>
          <w:rFonts w:cs="SPD TheSans"/>
        </w:rPr>
      </w:pPr>
      <w:r>
        <w:rPr>
          <w:rFonts w:eastAsia="SPD TheSans" w:cs="SPD TheSans"/>
        </w:rPr>
        <w:t xml:space="preserve">Thomas Koch, der Sprecher von Selbst Aktiv in Berlin, unterstrich in se</w:t>
      </w:r>
      <w:r>
        <w:rPr>
          <w:rFonts w:eastAsia="SPD TheSans" w:cs="SPD TheSans"/>
        </w:rPr>
        <w:t xml:space="preserve">inem Beitrag die breite Mitwirkung und Mitentscheidung von Selbst Aktiv bei dem Wahlprogrammentwurf der SPD in Berlin und im politischen Handeln. Dies bezieht sich auch auf die Einbeziehung der Kompetenz von Selbst Aktiv Berlin in den politischen Abläufen.</w:t>
      </w:r>
      <w:r>
        <w:rPr>
          <w:rFonts w:cs="SPD TheSans"/>
        </w:rPr>
      </w:r>
      <w:r>
        <w:rPr>
          <w:rFonts w:cs="SPD TheSans"/>
        </w:rPr>
      </w:r>
    </w:p>
    <w:p w14:paraId="4F4A7D08" w14:textId="77777777">
      <w:pPr>
        <w:pBdr/>
        <w:spacing/>
        <w:ind/>
        <w:rPr>
          <w:rFonts w:cs="SPD TheSans"/>
        </w:rPr>
      </w:pPr>
      <w:r>
        <w:rPr>
          <w:rFonts w:eastAsia="SPD TheSans" w:cs="SPD TheSans"/>
        </w:rPr>
        <w:t xml:space="preserve">Katrin </w:t>
      </w:r>
      <w:r>
        <w:rPr>
          <w:rFonts w:eastAsia="SPD TheSans" w:cs="SPD TheSans"/>
        </w:rPr>
        <w:t xml:space="preserve">Gensecke</w:t>
      </w:r>
      <w:r>
        <w:rPr>
          <w:rFonts w:eastAsia="SPD TheSans" w:cs="SPD TheSans"/>
        </w:rPr>
        <w:t xml:space="preserve"> verdeutlichte, welche Bedeutung die direkte Mitentscheidung behinderter Menschen im Landtag von Sachsen-Anhalt hat. Dies macht sie deutlich an konkreten Entscheidungsfällen, wie z.B. dem fortschrittlichen Kita-Gesetz in Sachsen-Anhal</w:t>
      </w:r>
      <w:r>
        <w:rPr>
          <w:rFonts w:eastAsia="SPD TheSans" w:cs="SPD TheSans"/>
        </w:rPr>
        <w:t xml:space="preserve">t und dass die Forderung nach Barrierefreiheit und Inklusion im Programm der SPD jeweils zehn bzw. sieben Mal enthalten ist, dies jeweils im Sinne der Fortentwicklung demokratischer und Teilhabe-Strukturen im Sinne einer menschenrechtsorientierten Politik.</w:t>
      </w:r>
      <w:r>
        <w:rPr>
          <w:rFonts w:cs="SPD TheSans"/>
        </w:rPr>
      </w:r>
      <w:r>
        <w:rPr>
          <w:rFonts w:cs="SPD TheSans"/>
        </w:rPr>
      </w:r>
    </w:p>
    <w:p w14:paraId="11993692" w14:textId="77777777">
      <w:pPr>
        <w:pBdr/>
        <w:spacing/>
        <w:ind/>
        <w:rPr>
          <w:rFonts w:cs="SPD TheSans"/>
        </w:rPr>
      </w:pPr>
      <w:r>
        <w:rPr>
          <w:rFonts w:eastAsia="SPD TheSans" w:cs="SPD TheSans"/>
        </w:rPr>
        <w:t xml:space="preserve">Alle 40 Aktivistinnen und Aktivisten werden unsere politischen Ziele einer inklusiven/partizipativen Gesellschaft in Arbeit, Bildung, Wohnen, Sport gemeinsam über Sachsen-Anhalt hinaus in die verschiedenen Bundesländer tragen.</w:t>
      </w:r>
      <w:r>
        <w:rPr>
          <w:rFonts w:cs="SPD TheSans"/>
        </w:rPr>
      </w:r>
      <w:r>
        <w:rPr>
          <w:rFonts w:cs="SPD TheSans"/>
        </w:rPr>
      </w:r>
    </w:p>
    <w:p w14:paraId="03995DD4" w14:textId="77777777">
      <w:pPr>
        <w:pBdr/>
        <w:spacing/>
        <w:ind/>
        <w:rPr>
          <w:rFonts w:cs="SPD TheSans"/>
        </w:rPr>
      </w:pPr>
      <w:r>
        <w:rPr>
          <w:rFonts w:eastAsia="SPD TheSans" w:cs="SPD TheSans"/>
        </w:rPr>
        <w:t xml:space="preserve">„Wir kommen wieder und dokumentieren unseren politischen Willen beim nächsten Mal vielleicht in Stuttgart, Hannover oder Leipzig“, riefen Katrin </w:t>
      </w:r>
      <w:r>
        <w:rPr>
          <w:rFonts w:eastAsia="SPD TheSans" w:cs="SPD TheSans"/>
        </w:rPr>
        <w:t xml:space="preserve">Gensecke</w:t>
      </w:r>
      <w:r>
        <w:rPr>
          <w:rFonts w:eastAsia="SPD TheSans" w:cs="SPD TheSans"/>
        </w:rPr>
        <w:t xml:space="preserve"> und Karl Finke den selbstbewussten Aktivistinnen und Aktivisten eben von Selbst Aktiv zu. „Solidarität und Zusammenhalt macht stark“, war das abschließende Credo aller. Uns ist klar, jede Stimme zählt.</w:t>
      </w:r>
      <w:r>
        <w:rPr>
          <w:rFonts w:cs="SPD TheSans"/>
        </w:rPr>
      </w:r>
      <w:r>
        <w:rPr>
          <w:rFonts w:cs="SPD TheSans"/>
        </w:rPr>
      </w:r>
    </w:p>
    <w:p w14:paraId="1CF44CD3" w14:textId="77777777">
      <w:pPr>
        <w:pBdr/>
        <w:spacing/>
        <w:ind/>
        <w:rPr>
          <w:rFonts w:cs="SPD TheSans"/>
        </w:rPr>
      </w:pPr>
      <w:r>
        <w:rPr>
          <w:rFonts w:cs="SPD TheSans"/>
        </w:rPr>
      </w:r>
      <w:r>
        <w:rPr>
          <w:rFonts w:cs="SPD TheSans"/>
        </w:rPr>
      </w:r>
      <w:r>
        <w:rPr>
          <w:rFonts w:cs="SPD TheSans"/>
        </w:rPr>
      </w:r>
    </w:p>
    <w:p w14:paraId="63663C41" w14:textId="77777777">
      <w:pPr>
        <w:pBdr/>
        <w:spacing/>
        <w:ind/>
        <w:rPr>
          <w:rFonts w:cs="SPD TheSans"/>
        </w:rPr>
      </w:pPr>
      <w:r>
        <w:rPr>
          <w:rFonts w:cs="SPD TheSans"/>
        </w:rPr>
      </w:r>
      <w:r>
        <w:rPr>
          <w:rFonts w:cs="SPD TheSans"/>
        </w:rPr>
      </w:r>
      <w:r>
        <w:rPr>
          <w:rFonts w:cs="SPD TheSans"/>
        </w:rPr>
      </w:r>
    </w:p>
    <w:p w14:paraId="06005B2B" w14:textId="77777777">
      <w:pPr>
        <w:pStyle w:val="939"/>
        <w:pBdr/>
        <w:spacing/>
        <w:ind/>
        <w:rPr>
          <w:rFonts w:cs="SPD TheSans"/>
          <w14:ligatures w14:val="none"/>
        </w:rPr>
      </w:pPr>
      <w:r/>
      <w:bookmarkStart w:id="85" w:name="_Toc3"/>
      <w:r>
        <w:rPr>
          <w:rFonts w:eastAsia="SPD TheSans" w:cs="SPD TheSans"/>
        </w:rPr>
        <w:t xml:space="preserve">Menschen mit Behinderungen gehören dazu</w:t>
      </w:r>
      <w:r>
        <w:rPr>
          <w:rFonts w:eastAsia="SPD TheSans" w:cs="SPD TheSans"/>
        </w:rPr>
        <w:br/>
      </w:r>
      <w:r>
        <w:rPr>
          <w:rFonts w:eastAsia="SPD TheSans" w:cs="SPD TheSans"/>
          <w:b w:val="0"/>
          <w:bCs w:val="0"/>
          <w:i/>
          <w:iCs/>
          <w:color w:val="000000" w:themeColor="text1"/>
          <w:sz w:val="24"/>
          <w:szCs w:val="24"/>
        </w:rPr>
        <w:t xml:space="preserve">PM: AG Selbst Aktiv Bundesvorstand vom 14. September 2026</w:t>
      </w:r>
      <w:r/>
      <w:bookmarkEnd w:id="85"/>
      <w:r/>
      <w:r>
        <w:rPr>
          <w:rFonts w:cs="SPD TheSans"/>
          <w14:ligatures w14:val="none"/>
        </w:rPr>
      </w:r>
    </w:p>
    <w:p w14:paraId="7D6BD0E4" w14:textId="6FC6D894">
      <w:pPr>
        <w:pBdr/>
        <w:spacing/>
        <w:ind/>
        <w:rPr>
          <w:rFonts w:cs="SPD TheSans"/>
        </w:rPr>
      </w:pPr>
      <w:r>
        <w:rPr>
          <w:rFonts w:eastAsia="SPD TheSans" w:cs="SPD TheSans"/>
        </w:rPr>
        <w:t xml:space="preserve">Nach dem Wahlerfolg der AfD in Sachsen-Anhalt befürchtet der Bundesvorstand der AG Selbst Aktiv eine massive Ausgrenzung von Menschen mit Behinderungen aus der Gesellschaft. „Die AfD in</w:t>
      </w:r>
      <w:r>
        <w:rPr>
          <w:rFonts w:eastAsia="SPD TheSans" w:cs="SPD TheSans"/>
        </w:rPr>
        <w:t xml:space="preserve"> </w:t>
      </w:r>
      <w:r>
        <w:rPr>
          <w:rFonts w:eastAsia="SPD TheSans" w:cs="SPD TheSans"/>
        </w:rPr>
        <w:t xml:space="preserve">Sachsen-</w:t>
      </w:r>
      <w:r>
        <w:rPr>
          <w:rFonts w:eastAsia="SPD TheSans" w:cs="SPD TheSans"/>
        </w:rPr>
        <w:t xml:space="preserve">Anhaĺt</w:t>
      </w:r>
      <w:r>
        <w:rPr>
          <w:rFonts w:eastAsia="SPD TheSans" w:cs="SPD TheSans"/>
        </w:rPr>
        <w:t xml:space="preserve"> </w:t>
      </w:r>
      <w:r>
        <w:rPr>
          <w:rFonts w:eastAsia="SPD TheSans" w:cs="SPD TheSans"/>
        </w:rPr>
        <w:t xml:space="preserve"> erklärt in ihrem Programm Inklusion zum ‚gescheiterten Experiment‘: Das gefährdet den sozialen Zusammenhalt und die Grundlagen unserer Demokratie“</w:t>
      </w:r>
      <w:r>
        <w:rPr>
          <w:rFonts w:eastAsia="SPD TheSans" w:cs="SPD TheSans"/>
        </w:rPr>
        <w:t xml:space="preserve">,</w:t>
      </w:r>
      <w:r>
        <w:rPr>
          <w:rFonts w:eastAsia="SPD TheSans" w:cs="SPD TheSans"/>
        </w:rPr>
        <w:t xml:space="preserve"> erklärte Karl Finke, Co-Bundesvorsitzender der Arbeitsgemeinschaft. Alle demokratischen Kräfte in Politik und Gesellschaft seien jetzt gefordert und müssten diesem rückwärtsgewandten Bildungsverständnis deutlich widersprechen, so Finke. </w:t>
      </w:r>
      <w:r>
        <w:rPr>
          <w:rFonts w:cs="SPD TheSans"/>
        </w:rPr>
      </w:r>
      <w:r>
        <w:rPr>
          <w:rFonts w:cs="SPD TheSans"/>
        </w:rPr>
      </w:r>
    </w:p>
    <w:p w14:paraId="5E149C34" w14:textId="2EA020CB">
      <w:pPr>
        <w:pBdr/>
        <w:spacing/>
        <w:ind/>
        <w:rPr>
          <w:rFonts w:cs="SPD TheSans"/>
        </w:rPr>
      </w:pPr>
      <w:r>
        <w:rPr>
          <w:rFonts w:eastAsia="SPD TheSans" w:cs="SPD TheSans"/>
        </w:rPr>
        <w:t xml:space="preserve">Katrin </w:t>
      </w:r>
      <w:r>
        <w:rPr>
          <w:rFonts w:eastAsia="SPD TheSans" w:cs="SPD TheSans"/>
        </w:rPr>
        <w:t xml:space="preserve">Gensecke</w:t>
      </w:r>
      <w:r>
        <w:rPr>
          <w:rFonts w:eastAsia="SPD TheSans" w:cs="SPD TheSans"/>
        </w:rPr>
        <w:t xml:space="preserve">, Co-Bundesvorsitzende der AG Selbst Aktiv, wurde wieder in den Landtag in Magdeburg gewählt, wo sie bisher Sprecherin der SPD-Fraktion für Soziales, Gleichstellung </w:t>
      </w:r>
      <w:r>
        <w:rPr>
          <w:rFonts w:eastAsia="SPD TheSans" w:cs="SPD TheSans"/>
        </w:rPr>
        <w:t xml:space="preserve">und</w:t>
      </w:r>
      <w:r>
        <w:rPr>
          <w:rFonts w:eastAsia="SPD TheSans" w:cs="SPD TheSans"/>
        </w:rPr>
        <w:t xml:space="preserve"> Inklusion war. Sie verweist auf die rechtliche Situation: „Inklusion ist ein Menschenrecht, und die UN-Behindertenrechtskonvention ist seit 2009 geltendes Recht! Dort ist klar geregelt, dass niemand aufgrund einer Behinderung vom Regelschul</w:t>
      </w:r>
      <w:r>
        <w:rPr>
          <w:rFonts w:eastAsia="SPD TheSans" w:cs="SPD TheSans"/>
        </w:rPr>
        <w:t xml:space="preserve">system au</w:t>
      </w:r>
      <w:r>
        <w:rPr>
          <w:rFonts w:eastAsia="SPD TheSans" w:cs="SPD TheSans"/>
        </w:rPr>
        <w:t xml:space="preserve">sgeschlossen werden darf. Menschen mit Behinderungen haben einen Anspruch auf ein selbstbestimmtes und gleichberechtigtes Leben in Gemeinschaft mit anderen.“ Die SPD werde alles tun, um diesen Anspruch gegen die Angriffe der AfD zu verteidigen, bekräftigt </w:t>
      </w:r>
      <w:r>
        <w:rPr>
          <w:rFonts w:eastAsia="SPD TheSans" w:cs="SPD TheSans"/>
        </w:rPr>
        <w:t xml:space="preserve">Gensecke</w:t>
      </w:r>
      <w:r>
        <w:rPr>
          <w:rFonts w:eastAsia="SPD TheSans" w:cs="SPD TheSans"/>
        </w:rPr>
        <w:t xml:space="preserve">.</w:t>
      </w:r>
      <w:r>
        <w:rPr>
          <w:rFonts w:cs="SPD TheSans"/>
        </w:rPr>
      </w:r>
      <w:r>
        <w:rPr>
          <w:rFonts w:cs="SPD TheSans"/>
        </w:rPr>
      </w:r>
    </w:p>
    <w:p w14:paraId="43FFC061" w14:textId="77777777">
      <w:pPr>
        <w:pBdr/>
        <w:spacing/>
        <w:ind/>
        <w:rPr>
          <w:rFonts w:cs="SPD TheSans"/>
        </w:rPr>
      </w:pPr>
      <w:r>
        <w:rPr>
          <w:rFonts w:cs="SPD TheSans"/>
        </w:rPr>
      </w:r>
      <w:r>
        <w:rPr>
          <w:rFonts w:cs="SPD TheSans"/>
        </w:rPr>
      </w:r>
      <w:r>
        <w:rPr>
          <w:rFonts w:cs="SPD TheSans"/>
        </w:rPr>
      </w:r>
    </w:p>
    <w:p w14:paraId="194D96EB">
      <w:pPr>
        <w:pBdr/>
        <w:spacing/>
        <w:ind/>
        <w:rPr>
          <w:rFonts w:cs="SPD TheSans"/>
        </w:rPr>
      </w:pPr>
      <w:r>
        <w:rPr>
          <w:rFonts w:cs="SPD TheSans"/>
        </w:rPr>
      </w:r>
      <w:r>
        <w:rPr>
          <w:rFonts w:cs="SPD TheSans"/>
        </w:rPr>
      </w:r>
      <w:r>
        <w:rPr>
          <w:rFonts w:cs="SPD TheSans"/>
        </w:rPr>
      </w:r>
    </w:p>
    <w:p w14:paraId="49366F3E" w14:textId="77777777">
      <w:pPr>
        <w:pStyle w:val="939"/>
        <w:pBdr/>
        <w:spacing/>
        <w:ind/>
        <w:rPr>
          <w:highlight w:val="none"/>
          <w14:ligatures w14:val="none"/>
        </w:rPr>
      </w:pPr>
      <w:r/>
      <w:bookmarkStart w:id="86" w:name="_Toc4"/>
      <w:r>
        <w:t xml:space="preserve">Katrin Gensecke kämpft im Parlament für die Rechte von Menschen mit Behinderungen</w:t>
      </w:r>
      <w:r/>
      <w:bookmarkEnd w:id="86"/>
      <w:r/>
      <w:r>
        <w:rPr>
          <w:highlight w:val="none"/>
          <w14:ligatures w14:val="none"/>
        </w:rPr>
      </w:r>
    </w:p>
    <w:p w14:paraId="0FCDE643">
      <w:pPr>
        <w:pBdr/>
        <w:shd w:val="nil" w:color="auto"/>
        <w:spacing/>
        <w:ind/>
        <w:rPr>
          <w:bCs/>
          <w:i/>
          <w:sz w:val="24"/>
          <w:szCs w:val="24"/>
          <w:highlight w:val="none"/>
          <w14:ligatures w14:val="none"/>
        </w:rPr>
      </w:pPr>
      <w:r>
        <w:rPr>
          <w:i/>
          <w:iCs/>
          <w:sz w:val="24"/>
          <w:szCs w:val="24"/>
        </w:rPr>
      </w:r>
      <w:r>
        <w:rPr>
          <w:i/>
          <w:iCs/>
          <w:sz w:val="24"/>
          <w:szCs w:val="24"/>
        </w:rPr>
        <w:t xml:space="preserve">PM: Bundesvorstand AG Selbst Aktiv</w:t>
      </w:r>
      <w:r>
        <w:rPr>
          <w:bCs/>
          <w:i/>
          <w:sz w:val="24"/>
          <w:szCs w:val="24"/>
          <w:highlight w:val="none"/>
          <w14:ligatures w14:val="none"/>
        </w:rPr>
      </w:r>
      <w:r>
        <w:rPr>
          <w:bCs/>
          <w:i/>
          <w:sz w:val="24"/>
          <w:szCs w:val="24"/>
          <w:highlight w:val="none"/>
          <w14:ligatures w14:val="none"/>
        </w:rPr>
      </w:r>
    </w:p>
    <w:p w14:paraId="41BBFAF1">
      <w:pPr>
        <w:pBdr/>
        <w:shd w:val="nil" w:color="000000"/>
        <w:spacing/>
        <w:ind/>
        <w:rPr/>
      </w:pPr>
      <w:r>
        <w:rPr>
          <w:highlight w:val="none"/>
        </w:rPr>
        <w:t xml:space="preserve">W</w:t>
      </w:r>
      <w:r>
        <w:rPr>
          <w:highlight w:val="none"/>
        </w:rPr>
        <w:t xml:space="preserve">enn sich am 6. Oktober in Magdeburg der Landtag von Sachsen-Anhalt neu konstituiert, wird die SPD-Fraktion mit acht Abgeordneten einer starken AfD mit 39 Mandaten gegenüberstehen. Katrin Gensecke, Co-Bundesvorsitzende der AG Selbst Aktiv, wird wieder mit d</w:t>
      </w:r>
      <w:r>
        <w:rPr>
          <w:highlight w:val="none"/>
        </w:rPr>
        <w:t xml:space="preserve">a</w:t>
      </w:r>
      <w:r>
        <w:rPr>
          <w:highlight w:val="none"/>
        </w:rPr>
        <w:t xml:space="preserve">bei sein; sie wurde wiedergewählt - mit einem besseren Ergebnis als vor fünf Jahren. Als Sprecherin für Menschen mit Behinderungen wird Katrin Gensecke weiterhin für Barrierefreiheit, Inklusion und Partizipation kämpfen. Das wird nicht einfach angesichts e</w:t>
      </w:r>
      <w:r>
        <w:rPr>
          <w:highlight w:val="none"/>
        </w:rPr>
        <w:t xml:space="preserve">iner AfD, die Inklusion als „gescheitertes Experiment“ am liebsten beenden möchte.</w:t>
      </w:r>
      <w:r>
        <w:rPr>
          <w:highlight w:val="none"/>
        </w:rPr>
      </w:r>
      <w:r/>
    </w:p>
    <w:p w14:paraId="00344393">
      <w:pPr>
        <w:pBdr/>
        <w:shd w:val="nil" w:color="000000"/>
        <w:spacing/>
        <w:ind/>
        <w:rPr/>
      </w:pPr>
      <w:r>
        <w:rPr>
          <w:highlight w:val="none"/>
        </w:rPr>
        <w:t xml:space="preserve">W</w:t>
      </w:r>
      <w:r>
        <w:rPr>
          <w:highlight w:val="none"/>
        </w:rPr>
        <w:t xml:space="preserve">ie wichtig es ist, dass Menschen mit Behinderungen für ihre Rechte kämpfen, weiß Katrin Gensecke aus eigener Erfahrung nur zu gut. In der Jugend als Leistungssportlerin mit dem Rennschlitten unterwegs, musste sie ihr Geschichts- und Sportstudium nach einem</w:t>
      </w:r>
      <w:r>
        <w:rPr>
          <w:highlight w:val="none"/>
        </w:rPr>
        <w:t xml:space="preserve"> </w:t>
      </w:r>
      <w:r>
        <w:rPr>
          <w:highlight w:val="none"/>
        </w:rPr>
        <w:t xml:space="preserve">schweren Sportunfall abbrechen. Anhaltende Sprach- und Bewegungsstörungen führten zur Diagnose MS (Multiple Sklerose). Eine Ausbildung zur medizinischen Fachangestellten konnte sie noch erfolgreich abschließen; als jedoch ein Jahr später die Kündigung kam </w:t>
      </w:r>
      <w:r>
        <w:rPr>
          <w:highlight w:val="none"/>
        </w:rPr>
        <w:t xml:space="preserve">mit der Begründung, der Betrieb könne nur voll leistungsfähige Menschen gebrauchen, fiel sie in ein tiefes Loch. Ihr Zustand verschlechterte sich dramatisch, sie brauchte einen Rollstuhl und konnte kein aktives Leben mehr führen.</w:t>
      </w:r>
      <w:r>
        <w:rPr>
          <w:highlight w:val="none"/>
        </w:rPr>
      </w:r>
      <w:r/>
    </w:p>
    <w:p w14:paraId="397D7DF1">
      <w:pPr>
        <w:pBdr/>
        <w:shd w:val="nil" w:color="000000"/>
        <w:spacing/>
        <w:ind/>
        <w:rPr/>
      </w:pPr>
      <w:r>
        <w:rPr>
          <w:highlight w:val="none"/>
        </w:rPr>
        <w:t xml:space="preserve">W</w:t>
      </w:r>
      <w:r>
        <w:rPr>
          <w:highlight w:val="none"/>
        </w:rPr>
        <w:t xml:space="preserve">ieder auf die Beine kam sie durch die Unterstützung ihres inzwischen leider verstorbenen Mannes und ihrer Familie, die auch in der Krise zu ihr gehalten haben. Sie organisierte eine Gruppe von Betroffenen in der DMSG (Deutsche Multiple Sklerose Gesellschaf</w:t>
      </w:r>
      <w:r>
        <w:rPr>
          <w:highlight w:val="none"/>
        </w:rPr>
        <w:t xml:space="preserve">t) und gab Tipps und Ratschläge weiter. Aber Katrin Gensecke wollte mehr: sie wollte mehr Recht für Menschen mit Behinderungen. </w:t>
      </w:r>
      <w:r>
        <w:rPr>
          <w:highlight w:val="none"/>
        </w:rPr>
      </w:r>
      <w:r/>
    </w:p>
    <w:p w14:paraId="152292B1">
      <w:pPr>
        <w:pBdr/>
        <w:shd w:val="nil" w:color="000000"/>
        <w:spacing/>
        <w:ind/>
        <w:rPr>
          <w14:ligatures w14:val="none"/>
        </w:rPr>
      </w:pPr>
      <w:r>
        <w:rPr>
          <w:highlight w:val="none"/>
        </w:rPr>
        <w:t xml:space="preserve">2</w:t>
      </w:r>
      <w:r>
        <w:rPr>
          <w:highlight w:val="none"/>
        </w:rPr>
        <w:t xml:space="preserve">011 trat sie in die SPD ein und gründete kurz darauf die Arbeitsgemeinschaft Selbst Aktiv, deren Vorsitzende sie bis heute ist. Heute steht der Rollstuhl auf dem Dachboden. Der Stress des Politikbetriebs bringt sie manchmal an ihre Grenzen, aber auch Katri</w:t>
      </w:r>
      <w:r>
        <w:rPr>
          <w:highlight w:val="none"/>
        </w:rPr>
        <w:t xml:space="preserve">n</w:t>
      </w:r>
      <w:r>
        <w:rPr>
          <w:highlight w:val="none"/>
        </w:rPr>
        <w:t xml:space="preserve"> Gensecke ist eine Kämpferin. Die Sozialpolitik in Sachsen-Anhalt hat sie als Sprecherin für Soziales, Gleichstellung und Inklusion in den letzten Jahren mit Leidenschaft und Engagement geprägt. Menschen mit Behinderungen Ausbildung und Berufstätigkeit zu </w:t>
      </w:r>
      <w:r>
        <w:rPr>
          <w:highlight w:val="none"/>
        </w:rPr>
        <w:t xml:space="preserve">e</w:t>
      </w:r>
      <w:r>
        <w:rPr>
          <w:highlight w:val="none"/>
        </w:rPr>
        <w:t xml:space="preserve">rmöglichen statt sie einfach auszusortieren, ist ihr großes Thema geblieben. „Menschen mit Behinderungen sind nicht weniger leistungsfähig als andere; sie brauchen Arbeitsplätze, die sich ihren besonderen Fähigkeiten und Bedarfen anpassen lassen. Sie verdi</w:t>
      </w:r>
      <w:r>
        <w:rPr>
          <w:highlight w:val="none"/>
        </w:rPr>
        <w:t xml:space="preserve">e</w:t>
      </w:r>
      <w:r>
        <w:rPr>
          <w:highlight w:val="none"/>
        </w:rPr>
        <w:t xml:space="preserve">nen die gleiche Anerkennung und Wertschätzung wie alle anderen Kolleginnen und Kollegen“ bringt Katrin Gensecke ihr politisches Engagement für einen inklusiven Arbeitsmarkt auf den Punkt. „Als erfolgreiche Landtagsabgeordnete ist sie selbst das beste Beisp</w:t>
      </w:r>
      <w:r>
        <w:rPr>
          <w:highlight w:val="none"/>
        </w:rPr>
        <w:t xml:space="preserve">i</w:t>
      </w:r>
      <w:r>
        <w:rPr>
          <w:highlight w:val="none"/>
        </w:rPr>
        <w:t xml:space="preserve">el für die Leistungsfähigkeit von Menschen mit Behinderungen. Auch die SPD muss endlich eine inklusive Partei werden und mehr Menschen mit einer Behinderung in Parteifunktionen wählen und für öffentliche Ämter und Parlamentsmandate vorschlagen“, sagt dazu </w:t>
      </w:r>
      <w:r>
        <w:rPr>
          <w:highlight w:val="none"/>
        </w:rPr>
        <w:t xml:space="preserve">Karl Finke, Co-Bundesvorsitzender der AG Selbst Aktiv. </w:t>
      </w:r>
      <w:r>
        <w:rPr>
          <w14:ligatures w14:val="none"/>
        </w:rPr>
      </w:r>
      <w:r>
        <w:rPr>
          <w14:ligatures w14:val="none"/>
        </w:rPr>
      </w:r>
    </w:p>
    <w:p w14:paraId="2EC0B93F">
      <w:pPr>
        <w:pBdr/>
        <w:shd w:val="nil" w:color="000000"/>
        <w:spacing/>
        <w:ind/>
        <w:rPr>
          <w14:ligatures w14:val="none"/>
        </w:rPr>
      </w:pPr>
      <w:r>
        <w:rPr>
          <w14:ligatures w14:val="none"/>
        </w:rPr>
      </w:r>
      <w:r>
        <w:rPr>
          <w14:ligatures w14:val="none"/>
        </w:rPr>
      </w:r>
      <w:r>
        <w:rPr>
          <w14:ligatures w14:val="none"/>
        </w:rPr>
      </w:r>
    </w:p>
    <w:p w14:paraId="0E501498">
      <w:pPr>
        <w:pBdr/>
        <w:shd w:val="nil" w:color="000000"/>
        <w:spacing/>
        <w:ind/>
        <w:rPr>
          <w14:ligatures w14:val="none"/>
        </w:rPr>
      </w:pPr>
      <w:r>
        <w:rPr>
          <w14:ligatures w14:val="none"/>
        </w:rPr>
      </w:r>
      <w:r>
        <w:rPr>
          <w14:ligatures w14:val="none"/>
        </w:rPr>
      </w:r>
      <w:r>
        <w:rPr>
          <w14:ligatures w14:val="none"/>
        </w:rPr>
      </w:r>
    </w:p>
    <w:p w14:paraId="2A2E856D">
      <w:pPr>
        <w:pBdr/>
        <w:shd w:val="nil" w:color="auto"/>
        <w:spacing/>
        <w:ind/>
        <w:rPr>
          <w14:ligatures w14:val="none"/>
        </w:rPr>
      </w:pPr>
      <w:r>
        <w:rPr>
          <w14:ligatures w14:val="none"/>
        </w:rPr>
      </w:r>
      <w:r>
        <w:rPr>
          <w14:ligatures w14:val="none"/>
        </w:rPr>
      </w:r>
      <w:r>
        <w:rPr>
          <w14:ligatures w14:val="none"/>
        </w:rPr>
      </w:r>
    </w:p>
    <w:p w14:paraId="67B52384">
      <w:pPr>
        <w:pBdr/>
        <w:spacing/>
        <w:ind/>
        <w:rPr>
          <w:rFonts w:cs="SPD TheSans"/>
        </w:rPr>
      </w:pPr>
      <w:r>
        <w:rPr>
          <w:rFonts w:cs="SPD TheSans"/>
        </w:rPr>
      </w:r>
      <w:r>
        <w:rPr>
          <w:rFonts w:cs="SPD TheSans"/>
        </w:rPr>
      </w:r>
      <w:r>
        <w:rPr>
          <w:rFonts w:cs="SPD TheSans"/>
        </w:rPr>
      </w:r>
    </w:p>
    <w:p w14:paraId="1325C69F">
      <w:pPr>
        <w:pStyle w:val="939"/>
        <w:pBdr/>
        <w:spacing/>
        <w:ind/>
        <w:rPr>
          <w:rFonts w:cs="SPD TheSans"/>
          <w14:ligatures w14:val="none"/>
        </w:rPr>
      </w:pPr>
      <w:r/>
      <w:bookmarkStart w:id="87" w:name="_Toc5"/>
      <w:r>
        <w:t xml:space="preserve">Es darf kein Weiter-so geben</w:t>
      </w:r>
      <w:r/>
      <w:bookmarkEnd w:id="87"/>
      <w:r/>
      <w:r>
        <w:rPr>
          <w:rFonts w:cs="SPD TheSans"/>
          <w14:ligatures w14:val="none"/>
        </w:rPr>
      </w:r>
    </w:p>
    <w:p w14:paraId="5EB0B363" w14:textId="77777777">
      <w:pPr>
        <w:pBdr/>
        <w:spacing/>
        <w:ind/>
        <w:rPr>
          <w:rFonts w:eastAsia="SPD TheSans" w:cs="SPD TheSans"/>
          <w:bCs/>
          <w:i/>
          <w:sz w:val="24"/>
          <w:szCs w:val="24"/>
        </w:rPr>
      </w:pPr>
      <w:r>
        <w:rPr>
          <w:rFonts w:eastAsia="SPD TheSans" w:cs="SPD TheSans"/>
          <w:i/>
          <w:iCs/>
          <w:sz w:val="24"/>
          <w:szCs w:val="24"/>
        </w:rPr>
        <w:t xml:space="preserve">PM: Der Paritätische Mecklenburg-Vorpommern e.V. vom 21. September 2026</w:t>
      </w:r>
      <w:r>
        <w:rPr>
          <w:rFonts w:eastAsia="SPD TheSans" w:cs="SPD TheSans"/>
          <w:bCs/>
          <w:i/>
          <w:sz w:val="24"/>
          <w:szCs w:val="24"/>
        </w:rPr>
      </w:r>
      <w:r>
        <w:rPr>
          <w:rFonts w:eastAsia="SPD TheSans" w:cs="SPD TheSans"/>
          <w:bCs/>
          <w:i/>
          <w:sz w:val="24"/>
          <w:szCs w:val="24"/>
        </w:rPr>
      </w:r>
    </w:p>
    <w:p w14:paraId="5B516717" w14:textId="77777777">
      <w:pPr>
        <w:pBdr/>
        <w:spacing/>
        <w:ind/>
        <w:rPr>
          <w:rFonts w:cs="SPD TheSans"/>
          <w:bCs/>
          <w:i/>
          <w:sz w:val="24"/>
          <w:szCs w:val="24"/>
        </w:rPr>
      </w:pPr>
      <w:r>
        <w:rPr>
          <w:rFonts w:eastAsia="SPD TheSans" w:cs="SPD TheSans"/>
          <w:b/>
          <w:bCs/>
        </w:rPr>
        <w:t xml:space="preserve">Vorstand berät Wahlergebnis und fordert politischen Perspektivwechsel – soziale Infrastruktur als Schlüssel für Zusammenhalt und Zukunftsfähigkeit</w:t>
      </w:r>
      <w:r>
        <w:rPr>
          <w:rFonts w:cs="SPD TheSans"/>
          <w:bCs/>
          <w:i/>
          <w:sz w:val="24"/>
          <w:szCs w:val="24"/>
        </w:rPr>
      </w:r>
      <w:r>
        <w:rPr>
          <w:rFonts w:cs="SPD TheSans"/>
          <w:bCs/>
          <w:i/>
          <w:sz w:val="24"/>
          <w:szCs w:val="24"/>
        </w:rPr>
      </w:r>
    </w:p>
    <w:p w14:paraId="152ADFC9" w14:textId="77777777">
      <w:pPr>
        <w:pBdr/>
        <w:spacing/>
        <w:ind/>
        <w:rPr>
          <w:rFonts w:cs="SPD TheSans"/>
        </w:rPr>
      </w:pPr>
      <w:r>
        <w:rPr>
          <w:rFonts w:eastAsia="SPD TheSans" w:cs="SPD TheSans"/>
        </w:rPr>
        <w:t xml:space="preserve">Der Vorstand des Paritätischen Mecklenburg-Vorpommern hat sich heute mit dem Ergebnis der Landtagswahl vom 20. September auseinandergesetzt. Au</w:t>
      </w:r>
      <w:r>
        <w:rPr>
          <w:rFonts w:eastAsia="SPD TheSans" w:cs="SPD TheSans"/>
        </w:rPr>
        <w:t xml:space="preserve">s Sicht des Verbandes macht das Wahlergebnis vor allem eines deutlich: Die Sorgen und Erwartungen der Menschen müssen von der Politik ernst genommen werden. Mecklenburg-Vorpommern braucht entschlossene und wirksame Reformen, die Vertrauen wiederherstellen.</w:t>
      </w:r>
      <w:r>
        <w:rPr>
          <w:rFonts w:cs="SPD TheSans"/>
        </w:rPr>
      </w:r>
      <w:r>
        <w:rPr>
          <w:rFonts w:cs="SPD TheSans"/>
        </w:rPr>
      </w:r>
    </w:p>
    <w:p w14:paraId="2562DD41" w14:textId="77777777">
      <w:pPr>
        <w:pBdr/>
        <w:spacing/>
        <w:ind/>
        <w:rPr>
          <w:rFonts w:cs="SPD TheSans"/>
        </w:rPr>
      </w:pPr>
      <w:r>
        <w:rPr>
          <w:rFonts w:eastAsia="SPD TheSans" w:cs="SPD TheSans"/>
        </w:rPr>
        <w:t xml:space="preserve">„Das Wahlergebnis ist ein deutlicher Weckruf“, sagt Nico C</w:t>
      </w:r>
      <w:r>
        <w:rPr>
          <w:rFonts w:eastAsia="SPD TheSans" w:cs="SPD TheSans"/>
        </w:rPr>
        <w:t xml:space="preserve">onrad, Vorsitzender des Paritätischen MV. „Die Menschen erwarten zu Recht, dass Politik ihre Lebensrealität wahrnimmt und konkrete Antworten auf die Herausforderungen vor Ort findet. Es darf kein Weiter-so geben. Wir brauchen Reformen und zwar nicht nur fa</w:t>
      </w:r>
      <w:r>
        <w:rPr>
          <w:rFonts w:eastAsia="SPD TheSans" w:cs="SPD TheSans"/>
        </w:rPr>
        <w:t xml:space="preserve">chlicher und struktureller Art, sondern auch im Miteinander. Politik und Verwaltung müssen wieder stärker mit den Menschen und den Akteuren sprechen, die täglich Verantwortung übernehmen und die Auswirkungen politischer Entscheidungen unmittelbar erleben.“</w:t>
      </w:r>
      <w:r>
        <w:rPr>
          <w:rFonts w:cs="SPD TheSans"/>
        </w:rPr>
      </w:r>
      <w:r>
        <w:rPr>
          <w:rFonts w:cs="SPD TheSans"/>
        </w:rPr>
      </w:r>
    </w:p>
    <w:p w14:paraId="7DBC366F" w14:textId="77777777">
      <w:pPr>
        <w:pBdr/>
        <w:spacing/>
        <w:ind/>
        <w:rPr>
          <w:rFonts w:cs="SPD TheSans"/>
        </w:rPr>
      </w:pPr>
      <w:r>
        <w:rPr>
          <w:rFonts w:eastAsia="SPD TheSans" w:cs="SPD TheSans"/>
        </w:rPr>
        <w:t xml:space="preserve">Die gesellschaftlichen Herausforderungen seien groß: demografischer Wandel, steigende Kosten, angespannte öffentliche Haushalte und wachsende soziale Bedarfe bei gleichzeitigem Fachkräftemange</w:t>
      </w:r>
      <w:r>
        <w:rPr>
          <w:rFonts w:eastAsia="SPD TheSans" w:cs="SPD TheSans"/>
        </w:rPr>
        <w:t xml:space="preserve"> treffen auf eine zunehmende Komplexität von Regelungen und Verfahren. Gleichzeitig steht der Sozialstaat unter wachsendem Rechtfertigungsdr</w:t>
      </w:r>
      <w:r>
        <w:rPr>
          <w:rFonts w:eastAsia="SPD TheSans" w:cs="SPD TheSans"/>
        </w:rPr>
        <w:t xml:space="preserve">uck. „Wir brauchen einen neuen Umgang miteinander“, so der Verbandsvorsitzende. „Das bedeutet mehr Vertrauen, mehr Beteiligung und mehr Bereitschaft, die Erfahrungen aus der Praxis tatsächlich in politische Entscheidungen einfließen zu lassen“, fordert er.</w:t>
      </w:r>
      <w:r>
        <w:rPr>
          <w:rFonts w:cs="SPD TheSans"/>
        </w:rPr>
      </w:r>
      <w:r>
        <w:rPr>
          <w:rFonts w:cs="SPD TheSans"/>
        </w:rPr>
      </w:r>
    </w:p>
    <w:p w14:paraId="3ACF079B" w14:textId="77777777">
      <w:pPr>
        <w:pBdr/>
        <w:spacing/>
        <w:ind/>
        <w:rPr>
          <w:rFonts w:cs="SPD TheSans"/>
        </w:rPr>
      </w:pPr>
      <w:r>
        <w:rPr>
          <w:rFonts w:eastAsia="SPD TheSans" w:cs="SPD TheSans"/>
        </w:rPr>
        <w:t xml:space="preserve">In den 200 Mitgliedsorganisationen des Paritätischen MV arbeiten run</w:t>
      </w:r>
      <w:r>
        <w:rPr>
          <w:rFonts w:eastAsia="SPD TheSans" w:cs="SPD TheSans"/>
        </w:rPr>
        <w:t xml:space="preserve">d 18.000 Hauptamtliche beispielsweise in Kitas und Horten, in der Jugendhilfe, in der Betreuung und Versorgung pflegebedürftiger Menschen und vielen weiteren Bereichen. Damit ist die Wohlfahrt ein bedeutender Wirtschafts- und Standortfaktor in Mecklenburg-</w:t>
      </w:r>
      <w:r>
        <w:rPr>
          <w:rFonts w:eastAsia="SPD TheSans" w:cs="SPD TheSans"/>
        </w:rPr>
        <w:t xml:space="preserve">Vorpommern. „Wir sind das Netz, das unsere Gesellschaft zusammenhält“, sagt Paul </w:t>
      </w:r>
      <w:r>
        <w:rPr>
          <w:rFonts w:eastAsia="SPD TheSans" w:cs="SPD TheSans"/>
        </w:rPr>
        <w:t xml:space="preserve">Weier</w:t>
      </w:r>
      <w:r>
        <w:rPr>
          <w:rFonts w:eastAsia="SPD TheSans" w:cs="SPD TheSans"/>
        </w:rPr>
        <w:t xml:space="preserve">, Vorstandsmitglied des Paritätischen MV und Geschäftsführer des SBH e.V. Verbund. „Nur, wer für sein Kind einen Kitaplatz hat oder für die Eltern Unter</w:t>
      </w:r>
      <w:r>
        <w:rPr>
          <w:rFonts w:eastAsia="SPD TheSans" w:cs="SPD TheSans"/>
        </w:rPr>
        <w:t xml:space="preserve">stützung in der Pflege, kann verlässlich seinem Beruf nachgehen und damit auch zum Steuer- und Sozialversicherungssystem beitragen. Soziale Daseinsvorsorge ist deshalb keine reine Kostenfrage. Sie ist eine Investition in die Zukunft unseres Landes“, macht </w:t>
      </w:r>
      <w:r>
        <w:rPr>
          <w:rFonts w:eastAsia="SPD TheSans" w:cs="SPD TheSans"/>
        </w:rPr>
        <w:t xml:space="preserve">Weier</w:t>
      </w:r>
      <w:r>
        <w:rPr>
          <w:rFonts w:eastAsia="SPD TheSans" w:cs="SPD TheSans"/>
        </w:rPr>
        <w:t xml:space="preserve"> deutlich.</w:t>
      </w:r>
      <w:r>
        <w:rPr>
          <w:rFonts w:cs="SPD TheSans"/>
        </w:rPr>
      </w:r>
      <w:r>
        <w:rPr>
          <w:rFonts w:cs="SPD TheSans"/>
        </w:rPr>
      </w:r>
    </w:p>
    <w:p w14:paraId="482DC312" w14:textId="61468FA0">
      <w:pPr>
        <w:pBdr/>
        <w:spacing/>
        <w:ind/>
        <w:rPr>
          <w:rFonts w:cs="SPD TheSans"/>
        </w:rPr>
      </w:pPr>
      <w:r>
        <w:rPr>
          <w:rFonts w:eastAsia="SPD TheSans" w:cs="SPD TheSans"/>
        </w:rPr>
        <w:t xml:space="preserve">Doch Kitas und Co stoßen durch die massiven Herausforderungen vielerorts an ihre Grenzen. „Die Träger sind am Limit“, sagt Katrin Herzberg, Vorstandmitglied</w:t>
      </w:r>
      <w:r>
        <w:rPr>
          <w:rFonts w:eastAsia="SPD TheSans" w:cs="SPD TheSans"/>
        </w:rPr>
        <w:t xml:space="preserve"> vom </w:t>
      </w:r>
      <w:r>
        <w:rPr>
          <w:rFonts w:eastAsia="SPD TheSans" w:cs="SPD TheSans"/>
        </w:rPr>
        <w:t xml:space="preserve"> Paritätischen MV und Geschäftsführerin des Feldberger Integrationszentrums mit Angeboten von Kita bis zur Tagespflege. Der Grund: hoher Kostendruck, immer neue Regularien und ausufernde Berichts- und Nachweispflichten. </w:t>
      </w:r>
      <w:r>
        <w:rPr>
          <w:rFonts w:eastAsia="SPD TheSans" w:cs="SPD TheSans"/>
        </w:rPr>
        <w:t xml:space="preserve">„Das frisst Zeit und Ressourcen, die dann für die eigentliche Arbeit mit Menschen fehlen“ sagt sie. „Wenn wir die sozialen Angebote sichern wollen, müssen wir diese Entwicklung umkehren. Ansonsten gehen vor allem im ländlichen Raum bald viele Lichter aus.“</w:t>
      </w:r>
      <w:r>
        <w:rPr>
          <w:rFonts w:cs="SPD TheSans"/>
        </w:rPr>
      </w:r>
      <w:r>
        <w:rPr>
          <w:rFonts w:cs="SPD TheSans"/>
        </w:rPr>
      </w:r>
    </w:p>
    <w:p w14:paraId="08F1C1D2" w14:textId="77777777">
      <w:pPr>
        <w:pBdr/>
        <w:spacing/>
        <w:ind/>
        <w:rPr>
          <w:rFonts w:cs="SPD TheSans"/>
        </w:rPr>
      </w:pPr>
      <w:r>
        <w:rPr>
          <w:rFonts w:eastAsia="SPD TheSans" w:cs="SPD TheSans"/>
        </w:rPr>
        <w:t xml:space="preserve">Es gebe keine einfachen Antworten auf die großen Herausforderungen unserer Zeit, da ist sich der Vorstand einig. Umso wichtiger sei es, gemeinsam mit der Politik nach tragfähigen Lösungen zu suche</w:t>
      </w:r>
      <w:r>
        <w:rPr>
          <w:rFonts w:eastAsia="SPD TheSans" w:cs="SPD TheSans"/>
        </w:rPr>
        <w:t xml:space="preserve">n und die Expertise aus der Praxis zu nutzen. „Wir wissen, was funktioniert und an welcher Stellschraube möglicherweise gedreht werden muss, damit es funktioniert“, ergänzt Marten Brockmann, Vorstandsmitglied und Vorsitzender der Lebenshilfe Schwerin e.V..</w:t>
      </w:r>
      <w:r>
        <w:rPr>
          <w:rFonts w:eastAsia="SPD TheSans" w:cs="SPD TheSans"/>
        </w:rPr>
        <w:t xml:space="preserve"> „Wir erwarten von der künftigen Landesregierung, dass sie nicht nur verwaltet, sondern gestaltet. Wir stehen bereit, unsere Erfahrung und unsere Positionen konstruktiv in die Lösungsfindung einzubringen, auch was Impulse für den Koalitionsvertrag angeht.“</w:t>
      </w:r>
      <w:r>
        <w:rPr>
          <w:rFonts w:cs="SPD TheSans"/>
        </w:rPr>
      </w:r>
      <w:r>
        <w:rPr>
          <w:rFonts w:cs="SPD TheSans"/>
        </w:rPr>
      </w:r>
    </w:p>
    <w:p w14:paraId="4218D5D9" w14:textId="77777777">
      <w:pPr>
        <w:pBdr/>
        <w:spacing/>
        <w:ind/>
        <w:rPr>
          <w:rFonts w:cs="SPD TheSans"/>
        </w:rPr>
      </w:pPr>
      <w:r>
        <w:rPr>
          <w:rFonts w:eastAsia="SPD TheSans" w:cs="SPD TheSans"/>
        </w:rPr>
        <w:t xml:space="preserve">Mit seinen sozialpolitischen Positionen strategische Sozialplanung, Arbeits- und Fachkräftestrategie sowie Entbürokratisierung formuliert der Paritätische MV konkrete Forderungen und Lösungsansätze für die kommende Legislaturperiode.</w:t>
      </w:r>
      <w:r>
        <w:rPr>
          <w:rFonts w:cs="SPD TheSans"/>
        </w:rPr>
      </w:r>
      <w:r>
        <w:rPr>
          <w:rFonts w:cs="SPD TheSans"/>
        </w:rPr>
      </w:r>
    </w:p>
    <w:p w14:paraId="29063EE3" w14:textId="77777777">
      <w:pPr>
        <w:pBdr/>
        <w:spacing/>
        <w:ind/>
        <w:rPr>
          <w:rFonts w:cs="SPD TheSans"/>
        </w:rPr>
      </w:pPr>
      <w:r>
        <w:rPr>
          <w:rFonts w:cs="SPD TheSans"/>
        </w:rPr>
      </w:r>
      <w:r>
        <w:rPr>
          <w:rFonts w:cs="SPD TheSans"/>
        </w:rPr>
      </w:r>
      <w:r>
        <w:rPr>
          <w:rFonts w:cs="SPD TheSans"/>
        </w:rPr>
      </w:r>
    </w:p>
    <w:p w14:paraId="117257F7" w14:textId="77777777">
      <w:pPr>
        <w:pBdr/>
        <w:spacing/>
        <w:ind/>
        <w:rPr>
          <w:rFonts w:cs="SPD TheSans"/>
        </w:rPr>
      </w:pPr>
      <w:r>
        <w:rPr>
          <w:rFonts w:cs="SPD TheSans"/>
        </w:rPr>
      </w:r>
      <w:r>
        <w:rPr>
          <w:rFonts w:cs="SPD TheSans"/>
        </w:rPr>
      </w:r>
      <w:r>
        <w:rPr>
          <w:rFonts w:cs="SPD TheSans"/>
        </w:rPr>
      </w:r>
    </w:p>
    <w:p w14:paraId="7A920533" w14:textId="0D7E1187">
      <w:pPr>
        <w:pStyle w:val="939"/>
        <w:pBdr/>
        <w:spacing/>
        <w:ind/>
        <w:rPr>
          <w14:ligatures w14:val="none"/>
        </w:rPr>
      </w:pPr>
      <w:r/>
      <w:bookmarkStart w:id="88" w:name="_Toc6"/>
      <w:r>
        <w:t xml:space="preserve">Wir trauern um</w:t>
      </w:r>
      <w:r>
        <w:t xml:space="preserve"> einen wertvollen Mitstreiter</w:t>
      </w:r>
      <w:r/>
      <w:bookmarkEnd w:id="88"/>
      <w:r/>
      <w:r>
        <w:rPr>
          <w14:ligatures w14:val="none"/>
        </w:rPr>
      </w:r>
    </w:p>
    <w:p w14:paraId="16DDC010" w14:textId="77777777">
      <w:pPr>
        <w:pBdr/>
        <w:spacing/>
        <w:ind/>
        <w:rPr>
          <w:rFonts w:cs="SPD TheSans"/>
          <w:bCs/>
          <w:i/>
          <w:color w:val="000000" w:themeColor="text1"/>
          <w:sz w:val="24"/>
          <w:szCs w:val="24"/>
          <w14:ligatures w14:val="none"/>
        </w:rPr>
      </w:pPr>
      <w:r>
        <w:rPr>
          <w:rFonts w:eastAsia="SPD TheSans" w:cs="SPD TheSans"/>
          <w:i/>
          <w:iCs/>
          <w:color w:val="000000" w:themeColor="text1"/>
          <w:sz w:val="24"/>
          <w:szCs w:val="24"/>
        </w:rPr>
        <w:t xml:space="preserve">Hannover, August 2026</w:t>
      </w:r>
      <w:r>
        <w:rPr>
          <w:rFonts w:cs="SPD TheSans"/>
          <w:bCs/>
          <w:i/>
          <w:color w:val="000000" w:themeColor="text1"/>
          <w:sz w:val="24"/>
          <w:szCs w:val="24"/>
          <w14:ligatures w14:val="none"/>
        </w:rPr>
      </w:r>
      <w:r>
        <w:rPr>
          <w:rFonts w:cs="SPD TheSans"/>
          <w:bCs/>
          <w:i/>
          <w:color w:val="000000" w:themeColor="text1"/>
          <w:sz w:val="24"/>
          <w:szCs w:val="24"/>
          <w14:ligatures w14:val="none"/>
        </w:rPr>
      </w:r>
    </w:p>
    <w:p w14:paraId="7A7BF26D" w14:textId="77777777">
      <w:pPr>
        <w:pBdr/>
        <w:spacing/>
        <w:ind/>
        <w:rPr>
          <w:rFonts w:cs="SPD TheSans"/>
        </w:rPr>
      </w:pPr>
      <w:r>
        <w:rPr>
          <w:rFonts w:eastAsia="SPD TheSans" w:cs="SPD TheSans"/>
        </w:rPr>
        <w:t xml:space="preserve">Gerwin </w:t>
      </w:r>
      <w:r>
        <w:rPr>
          <w:rFonts w:eastAsia="SPD TheSans" w:cs="SPD TheSans"/>
        </w:rPr>
        <w:t xml:space="preserve">Matysiak</w:t>
      </w:r>
      <w:r>
        <w:rPr>
          <w:rFonts w:eastAsia="SPD TheSans" w:cs="SPD TheSans"/>
        </w:rPr>
        <w:t xml:space="preserve"> war Mitstreiter bei Selbst Aktiv, vertrat uns in mehreren Gremien der Partei und war für die SPD auch sachkundiger Einwohner im Verkehrsausschuss der Region Hannover. </w:t>
      </w:r>
      <w:r>
        <w:rPr>
          <w:rFonts w:cs="SPD TheSans"/>
        </w:rPr>
      </w:r>
      <w:r>
        <w:rPr>
          <w:rFonts w:cs="SPD TheSans"/>
        </w:rPr>
      </w:r>
    </w:p>
    <w:p w14:paraId="4B38D1A8" w14:textId="7A83F059">
      <w:pPr>
        <w:pBdr/>
        <w:spacing/>
        <w:ind/>
        <w:rPr>
          <w:rFonts w:cs="SPD TheSans"/>
        </w:rPr>
      </w:pPr>
      <w:r>
        <w:rPr>
          <w:rFonts w:eastAsia="SPD TheSans" w:cs="SPD TheSans"/>
        </w:rPr>
        <w:t xml:space="preserve">Als Kandidat des AG Bezirks wurde er auch in den Bundesvorstand von Selbst Aktiv gewählt. Im zivilgesellschaftlichen Umfeld </w:t>
      </w:r>
      <w:r>
        <w:rPr>
          <w:rFonts w:eastAsia="SPD TheSans" w:cs="SPD TheSans"/>
        </w:rPr>
        <w:t xml:space="preserve">engagierte</w:t>
      </w:r>
      <w:r>
        <w:rPr>
          <w:rFonts w:eastAsia="SPD TheSans" w:cs="SPD TheSans"/>
        </w:rPr>
        <w:t xml:space="preserve"> </w:t>
      </w:r>
      <w:r>
        <w:rPr>
          <w:rFonts w:eastAsia="SPD TheSans" w:cs="SPD TheSans"/>
        </w:rPr>
        <w:t xml:space="preserve"> er sich auch als Bundesvorsitzender des Bundesverbandes Selbsthilfe Körperbehinderter. </w:t>
      </w:r>
      <w:r>
        <w:rPr>
          <w:rFonts w:cs="SPD TheSans"/>
        </w:rPr>
      </w:r>
      <w:r>
        <w:rPr>
          <w:rFonts w:cs="SPD TheSans"/>
        </w:rPr>
      </w:r>
    </w:p>
    <w:p w14:paraId="5E468F8C" w14:textId="77777777">
      <w:pPr>
        <w:pBdr/>
        <w:spacing/>
        <w:ind/>
        <w:rPr>
          <w:rFonts w:cs="SPD TheSans"/>
        </w:rPr>
      </w:pPr>
      <w:r>
        <w:rPr>
          <w:rFonts w:eastAsia="SPD TheSans" w:cs="SPD TheSans"/>
        </w:rPr>
        <w:t xml:space="preserve">Gerwin war dabei zielstrebig und freundlich und von einer bemerkenswerten Gelassenheit - trotz vieler Widrigkeiten in seinem Leben. </w:t>
      </w:r>
      <w:r>
        <w:rPr>
          <w:rFonts w:cs="SPD TheSans"/>
        </w:rPr>
      </w:r>
      <w:r>
        <w:rPr>
          <w:rFonts w:cs="SPD TheSans"/>
        </w:rPr>
      </w:r>
    </w:p>
    <w:p w14:paraId="27CED4CE" w14:textId="77777777">
      <w:pPr>
        <w:pBdr/>
        <w:spacing/>
        <w:ind/>
        <w:rPr>
          <w:rFonts w:cs="SPD TheSans"/>
        </w:rPr>
      </w:pPr>
      <w:r>
        <w:rPr>
          <w:rFonts w:eastAsia="SPD TheSans" w:cs="SPD TheSans"/>
        </w:rPr>
        <w:t xml:space="preserve">Gerwin wurde 72 Jahre alt. </w:t>
      </w:r>
      <w:r>
        <w:rPr>
          <w:rFonts w:cs="SPD TheSans"/>
        </w:rPr>
      </w:r>
      <w:r>
        <w:rPr>
          <w:rFonts w:cs="SPD TheSans"/>
        </w:rPr>
      </w:r>
    </w:p>
    <w:p w14:paraId="023DCFA1" w14:textId="77777777">
      <w:pPr>
        <w:pBdr/>
        <w:spacing/>
        <w:ind/>
        <w:rPr>
          <w:rFonts w:cs="SPD TheSans"/>
        </w:rPr>
      </w:pPr>
      <w:r>
        <w:rPr>
          <w:rFonts w:eastAsia="SPD TheSans" w:cs="SPD TheSans"/>
        </w:rPr>
        <w:t xml:space="preserve">Wir sind dankbar für die gemeinsame Zeit. </w:t>
      </w:r>
      <w:r>
        <w:rPr>
          <w:rFonts w:cs="SPD TheSans"/>
        </w:rPr>
      </w:r>
      <w:r>
        <w:rPr>
          <w:rFonts w:cs="SPD TheSans"/>
        </w:rPr>
      </w:r>
    </w:p>
    <w:p w14:paraId="3C90C81B" w14:textId="77777777">
      <w:pPr>
        <w:pBdr/>
        <w:spacing/>
        <w:ind/>
        <w:rPr>
          <w:rFonts w:cs="SPD TheSans"/>
        </w:rPr>
      </w:pPr>
      <w:r>
        <w:rPr>
          <w:rFonts w:cs="SPD TheSans"/>
        </w:rPr>
      </w:r>
      <w:r>
        <w:rPr>
          <w:rFonts w:cs="SPD TheSans"/>
        </w:rPr>
      </w:r>
      <w:r>
        <w:rPr>
          <w:rFonts w:cs="SPD TheSans"/>
        </w:rPr>
      </w:r>
    </w:p>
    <w:p w14:paraId="248C8139" w14:textId="77777777">
      <w:pPr>
        <w:pBdr/>
        <w:spacing/>
        <w:ind/>
        <w:rPr>
          <w:rFonts w:cs="SPD TheSans"/>
        </w:rPr>
      </w:pPr>
      <w:r>
        <w:rPr>
          <w:rFonts w:cs="SPD TheSans"/>
        </w:rPr>
      </w:r>
      <w:r>
        <w:rPr>
          <w:rFonts w:cs="SPD TheSans"/>
        </w:rPr>
      </w:r>
      <w:r>
        <w:rPr>
          <w:rFonts w:cs="SPD TheSans"/>
        </w:rPr>
      </w:r>
    </w:p>
    <w:p w14:paraId="2A0E7D49" w14:textId="77777777">
      <w:pPr>
        <w:pStyle w:val="939"/>
        <w:pBdr/>
        <w:spacing/>
        <w:ind/>
        <w:rPr>
          <w:rFonts w:cs="SPD TheSans"/>
          <w14:ligatures w14:val="none"/>
        </w:rPr>
      </w:pPr>
      <w:r/>
      <w:bookmarkStart w:id="89" w:name="_Toc7"/>
      <w:r>
        <w:rPr>
          <w:rFonts w:eastAsia="SPD TheSans" w:cs="SPD TheSans"/>
        </w:rPr>
        <w:t xml:space="preserve">Selbst Aktiv Rheinland-Pfalz</w:t>
      </w:r>
      <w:r/>
      <w:bookmarkEnd w:id="89"/>
      <w:r/>
      <w:r>
        <w:rPr>
          <w:rFonts w:cs="SPD TheSans"/>
          <w14:ligatures w14:val="none"/>
        </w:rPr>
      </w:r>
    </w:p>
    <w:p w14:paraId="63EE0EEB" w14:textId="77777777">
      <w:pPr>
        <w:pBdr/>
        <w:spacing/>
        <w:ind/>
        <w:rPr>
          <w:rFonts w:cs="SPD TheSans"/>
          <w:bCs/>
          <w:i/>
          <w:sz w:val="24"/>
          <w:szCs w:val="24"/>
        </w:rPr>
      </w:pPr>
      <w:r>
        <w:rPr>
          <w:rFonts w:eastAsia="SPD TheSans" w:cs="SPD TheSans"/>
          <w:i/>
          <w:iCs/>
          <w:sz w:val="24"/>
          <w:szCs w:val="24"/>
        </w:rPr>
        <w:t xml:space="preserve">Text: Anne </w:t>
      </w:r>
      <w:r>
        <w:rPr>
          <w:rFonts w:eastAsia="SPD TheSans" w:cs="SPD TheSans"/>
          <w:i/>
          <w:iCs/>
          <w:sz w:val="24"/>
          <w:szCs w:val="24"/>
        </w:rPr>
        <w:t xml:space="preserve">Kleinschnieder</w:t>
      </w:r>
      <w:r>
        <w:rPr>
          <w:rFonts w:eastAsia="SPD TheSans" w:cs="SPD TheSans"/>
          <w:i/>
          <w:iCs/>
          <w:sz w:val="24"/>
          <w:szCs w:val="24"/>
        </w:rPr>
        <w:t xml:space="preserve">,</w:t>
      </w:r>
      <w:r>
        <w:rPr>
          <w:rFonts w:eastAsia="SPD TheSans" w:cs="SPD TheSans"/>
          <w:i/>
          <w:iCs/>
          <w:sz w:val="24"/>
          <w:szCs w:val="24"/>
        </w:rPr>
        <w:t xml:space="preserve"> RLP</w:t>
      </w:r>
      <w:r>
        <w:rPr>
          <w:rFonts w:cs="SPD TheSans"/>
          <w:bCs/>
          <w:i/>
          <w:sz w:val="24"/>
          <w:szCs w:val="24"/>
        </w:rPr>
      </w:r>
      <w:r>
        <w:rPr>
          <w:rFonts w:cs="SPD TheSans"/>
          <w:bCs/>
          <w:i/>
          <w:sz w:val="24"/>
          <w:szCs w:val="24"/>
        </w:rPr>
      </w:r>
    </w:p>
    <w:p w14:paraId="61382151" w14:textId="77777777">
      <w:pPr>
        <w:pBdr/>
        <w:spacing/>
        <w:ind/>
        <w:rPr>
          <w:rFonts w:cs="SPD TheSans"/>
        </w:rPr>
      </w:pPr>
      <w:r>
        <w:rPr>
          <w:rFonts w:eastAsia="SPD TheSans" w:cs="SPD TheSans"/>
        </w:rPr>
        <w:t xml:space="preserve">Nach der leider erstmals nach vielen Jahren verlorenen Landtagswahl sind wir dennoch froh, dass die für uns relevanten Schlüsselministerien (Finanzen, Soziales und Arbeit, Wohnen etc.) von der SPD geführt werden.</w:t>
      </w:r>
      <w:r>
        <w:rPr>
          <w:rFonts w:cs="SPD TheSans"/>
        </w:rPr>
      </w:r>
      <w:r>
        <w:rPr>
          <w:rFonts w:cs="SPD TheSans"/>
        </w:rPr>
      </w:r>
    </w:p>
    <w:p w14:paraId="48A48094" w14:textId="11F51712">
      <w:pPr>
        <w:pBdr/>
        <w:spacing/>
        <w:ind/>
        <w:rPr>
          <w:rFonts w:cs="SPD TheSans"/>
        </w:rPr>
      </w:pPr>
      <w:r>
        <w:rPr>
          <w:rFonts w:eastAsia="SPD TheSans" w:cs="SPD TheSans"/>
        </w:rPr>
        <w:t xml:space="preserve">Die Bildung ging leider an die CDU. Mal sehen</w:t>
      </w:r>
      <w:r>
        <w:rPr>
          <w:rFonts w:eastAsia="SPD TheSans" w:cs="SPD TheSans"/>
        </w:rPr>
        <w:t xml:space="preserve">,</w:t>
      </w:r>
      <w:r>
        <w:rPr>
          <w:rFonts w:eastAsia="SPD TheSans" w:cs="SPD TheSans"/>
        </w:rPr>
        <w:t xml:space="preserve"> was aus der Inklusion wird….</w:t>
      </w:r>
      <w:r>
        <w:rPr>
          <w:rFonts w:cs="SPD TheSans"/>
        </w:rPr>
      </w:r>
      <w:r>
        <w:rPr>
          <w:rFonts w:cs="SPD TheSans"/>
        </w:rPr>
      </w:r>
    </w:p>
    <w:p w14:paraId="2F9C730C" w14:textId="28B22A1F">
      <w:pPr>
        <w:pBdr/>
        <w:spacing/>
        <w:ind/>
        <w:rPr>
          <w:rFonts w:cs="SPD TheSans"/>
        </w:rPr>
      </w:pPr>
      <w:r>
        <w:rPr>
          <w:rFonts w:eastAsia="SPD TheSans" w:cs="SPD TheSans"/>
        </w:rPr>
        <mc:AlternateContent>
          <mc:Choice Requires="wpg">
            <w:drawing>
              <wp:anchor xmlns:wp="http://schemas.openxmlformats.org/drawingml/2006/wordprocessingDrawing" xmlns:wp14="http://schemas.microsoft.com/office/word/2010/wordprocessingDrawing" distT="0" distB="0" distL="115200" distR="115200" simplePos="0" relativeHeight="251687936" behindDoc="0" locked="0" layoutInCell="1" allowOverlap="1">
                <wp:simplePos x="0" y="0"/>
                <wp:positionH relativeFrom="column">
                  <wp:posOffset>46580</wp:posOffset>
                </wp:positionH>
                <wp:positionV relativeFrom="paragraph">
                  <wp:posOffset>3886110</wp:posOffset>
                </wp:positionV>
                <wp:extent cx="2871382" cy="457200"/>
                <wp:effectExtent l="0" t="0" r="0" b="0"/>
                <wp:wrapSquare wrapText="bothSides"/>
                <wp:docPr id="2" name="Rechteck 2"/>
                <wp:cNvGraphicFramePr/>
                <a:graphic xmlns:a="http://schemas.openxmlformats.org/drawingml/2006/main">
                  <a:graphicData uri="http://schemas.microsoft.com/office/word/2010/wordprocessingShape">
                    <wps:wsp>
                      <wps:cNvPr id="0" name=""/>
                      <wps:cNvSpPr/>
                      <wps:spPr bwMode="auto">
                        <a:xfrm>
                          <a:off x="0" y="0"/>
                          <a:ext cx="2871742" cy="608419"/>
                        </a:xfrm>
                        <a:prstGeom prst="rect">
                          <a:avLst/>
                        </a:prstGeom>
                        <a:noFill/>
                        <a:ln>
                          <a:noFill/>
                        </a:ln>
                      </wps:spPr>
                      <wps:txbx>
                        <w:txbxContent>
                          <w:p w14:paraId="05E298EE" w14:textId="77777777">
                            <w:pPr>
                              <w:pStyle w:val="947"/>
                              <w:pBdr/>
                              <w:spacing/>
                              <w:ind/>
                              <w:rPr>
                                <w:rFonts w:ascii="Cambria Math" w:hAnsi="Cambria Math" w:eastAsia="Cambria Math" w:cs="Cambria Math"/>
                              </w:rPr>
                            </w:pPr>
                            <w:r>
                              <w:t xml:space="preserve">Abbildung </w:t>
                            </w:r>
                            <w:r>
                              <w:fldChar w:fldCharType="begin"/>
                            </w:r>
                            <w:r>
                              <w:instrText xml:space="preserve"> SEQ Abbildung \* Arabic </w:instrText>
                            </w:r>
                            <w:r>
                              <w:fldChar w:fldCharType="separate"/>
                            </w:r>
                            <w:r>
                              <w:t xml:space="preserve">1</w:t>
                            </w:r>
                            <w:r>
                              <w:fldChar w:fldCharType="end"/>
                            </w:r>
                            <w:r>
                              <w:t xml:space="preserve">: von li nach </w:t>
                            </w:r>
                            <w:r>
                              <w:t xml:space="preserve">re</w:t>
                            </w:r>
                            <w:r>
                              <w:t xml:space="preserve">: Anne </w:t>
                            </w:r>
                            <w:r>
                              <w:t xml:space="preserve">Kleinschnieder</w:t>
                            </w:r>
                            <w:r>
                              <w:t xml:space="preserve">, Kathrin Anklam-Trapp (Staatsrätin), Anette Glöckner, Markus Land. Foto: </w:t>
                            </w:r>
                            <w:r>
                              <w:t xml:space="preserve">Franzisk</w:t>
                            </w:r>
                            <w:r>
                              <w:t xml:space="preserve"> a Staudt </w:t>
                            </w:r>
                            <w:r>
                              <w:rPr>
                                <w:rFonts w:ascii="Cambria Math" w:hAnsi="Cambria Math" w:eastAsia="Cambria Math" w:cs="Cambria Math"/>
                              </w:rPr>
                            </w:r>
                            <w:r>
                              <w:rPr>
                                <w:rFonts w:ascii="Cambria Math" w:hAnsi="Cambria Math" w:eastAsia="Cambria Math" w:cs="Cambria Math"/>
                              </w:rPr>
                            </w:r>
                          </w:p>
                        </w:txbxContent>
                      </wps:txbx>
                      <wps:bodyPr rot="0" spcFirstLastPara="0" vertOverflow="overflow" horzOverflow="overflow" vert="horz" wrap="square" lIns="0" tIns="0" rIns="0" bIns="0" numCol="1" spcCol="0" rtlCol="0" fromWordArt="0" anchor="t" anchorCtr="0" forceAA="0" compatLnSpc="1">
                        <a:prstTxWarp prst="textNoShape"/>
                        <a:spAutoFit/>
                      </wps:bodyPr>
                    </wps:wsp>
                  </a:graphicData>
                </a:graphic>
              </wp:anchor>
            </w:drawing>
          </mc:Choice>
          <mc:Fallback>
            <w:pict>
              <v:shape id="shape 1" o:spid="_x0000_s1" o:spt="1" type="#_x0000_t1" style="position:absolute;z-index:251687936;o:allowoverlap:true;o:allowincell:true;mso-position-horizontal-relative:text;margin-left:3.67pt;mso-position-horizontal:absolute;mso-position-vertical-relative:text;margin-top:305.99pt;mso-position-vertical:absolute;width:226.09pt;height:36.00pt;mso-wrap-distance-left:9.07pt;mso-wrap-distance-top:0.00pt;mso-wrap-distance-right:9.07pt;mso-wrap-distance-bottom:0.00pt;v-text-anchor:top;visibility:visible;" filled="f" stroked="f">
                <w10:wrap type="square"/>
                <v:textbox inset="0,0,0,0">
                  <w:txbxContent>
                    <w:p w14:paraId="05E298EE" w14:textId="77777777">
                      <w:pPr>
                        <w:pStyle w:val="947"/>
                        <w:pBdr/>
                        <w:spacing/>
                        <w:ind/>
                        <w:rPr>
                          <w:rFonts w:ascii="Cambria Math" w:hAnsi="Cambria Math" w:eastAsia="Cambria Math" w:cs="Cambria Math"/>
                        </w:rPr>
                      </w:pPr>
                      <w:r>
                        <w:t xml:space="preserve">Abbildung </w:t>
                      </w:r>
                      <w:r>
                        <w:fldChar w:fldCharType="begin"/>
                      </w:r>
                      <w:r>
                        <w:instrText xml:space="preserve"> SEQ Abbildung \* Arabic </w:instrText>
                      </w:r>
                      <w:r>
                        <w:fldChar w:fldCharType="separate"/>
                      </w:r>
                      <w:r>
                        <w:t xml:space="preserve">1</w:t>
                      </w:r>
                      <w:r>
                        <w:fldChar w:fldCharType="end"/>
                      </w:r>
                      <w:r>
                        <w:t xml:space="preserve">: von li nach </w:t>
                      </w:r>
                      <w:r>
                        <w:t xml:space="preserve">re</w:t>
                      </w:r>
                      <w:r>
                        <w:t xml:space="preserve">: Anne </w:t>
                      </w:r>
                      <w:r>
                        <w:t xml:space="preserve">Kleinschnieder</w:t>
                      </w:r>
                      <w:r>
                        <w:t xml:space="preserve">, Kathrin Anklam-Trapp (Staatsrätin), Anette Glöckner, Markus Land. Foto: </w:t>
                      </w:r>
                      <w:r>
                        <w:t xml:space="preserve">Franzisk</w:t>
                      </w:r>
                      <w:r>
                        <w:t xml:space="preserve"> a Staudt </w:t>
                      </w:r>
                      <w:r>
                        <w:rPr>
                          <w:rFonts w:ascii="Cambria Math" w:hAnsi="Cambria Math" w:eastAsia="Cambria Math" w:cs="Cambria Math"/>
                        </w:rPr>
                      </w:r>
                      <w:r>
                        <w:rPr>
                          <w:rFonts w:ascii="Cambria Math" w:hAnsi="Cambria Math" w:eastAsia="Cambria Math" w:cs="Cambria Math"/>
                        </w:rPr>
                      </w:r>
                    </w:p>
                  </w:txbxContent>
                </v:textbox>
              </v:shape>
            </w:pict>
          </mc:Fallback>
        </mc:AlternateContent>
      </w:r>
      <w:r>
        <w:rPr>
          <w:rFonts w:eastAsia="SPD TheSans" w:cs="SPD TheSans"/>
        </w:rPr>
        <w:t xml:space="preserve">I</w:t>
      </w:r>
      <w:r>
        <w:rPr>
          <w:rFonts w:eastAsia="SPD TheSans" w:cs="SPD TheSans"/>
        </w:rPr>
        <mc:AlternateContent>
          <mc:Choice Requires="wpg">
            <w:drawing>
              <wp:anchor xmlns:wp="http://schemas.openxmlformats.org/drawingml/2006/wordprocessingDrawing" xmlns:wp14="http://schemas.microsoft.com/office/word/2010/wordprocessingDrawing" distT="0" distB="0" distL="115200" distR="115200" simplePos="0" relativeHeight="251686912" behindDoc="0" locked="0" layoutInCell="1" allowOverlap="1">
                <wp:simplePos x="0" y="0"/>
                <wp:positionH relativeFrom="column">
                  <wp:posOffset>46580</wp:posOffset>
                </wp:positionH>
                <wp:positionV relativeFrom="paragraph">
                  <wp:posOffset>0</wp:posOffset>
                </wp:positionV>
                <wp:extent cx="2871382" cy="3828510"/>
                <wp:effectExtent l="0" t="0" r="0" b="0"/>
                <wp:wrapSquare wrapText="bothSides"/>
                <wp:docPr id="3" name="Grafik 3" descr="Bild zeigt: von li nach re:&#10;Anne Kleinschnieder, Kathrin Anklam-Trapp (Staatsrätin),  Anette Glöckner, Markus Land&#10;Foto: Franziska Stau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7265" name="" descr="Bild zeigt: von li nach re:&#10;Anne Kleinschnieder, Kathrin Anklam-Trapp (Staatsrätin),  Anette Glöckner, Markus Land&#10;Foto: Franziska Staudt"/>
                        <pic:cNvPicPr>
                          <a:picLocks noChangeAspect="1"/>
                        </pic:cNvPicPr>
                        <pic:nvPr/>
                      </pic:nvPicPr>
                      <pic:blipFill rotWithShape="1">
                        <a:blip r:embed="rId14"/>
                        <a:stretch/>
                      </pic:blipFill>
                      <pic:spPr bwMode="auto">
                        <a:xfrm>
                          <a:off x="0" y="0"/>
                          <a:ext cx="2871382" cy="382851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86912;o:allowoverlap:true;o:allowincell:true;mso-position-horizontal-relative:text;margin-left:3.67pt;mso-position-horizontal:absolute;mso-position-vertical-relative:text;margin-top:0.00pt;mso-position-vertical:absolute;width:226.09pt;height:301.46pt;mso-wrap-distance-left:9.07pt;mso-wrap-distance-top:0.00pt;mso-wrap-distance-right:9.07pt;mso-wrap-distance-bottom:0.00pt;z-index:1;" stroked="false">
                <w10:wrap type="square"/>
                <v:imagedata r:id="rId14" o:title=""/>
                <o:lock v:ext="edit" rotation="t"/>
              </v:shape>
            </w:pict>
          </mc:Fallback>
        </mc:AlternateContent>
      </w:r>
      <w:r>
        <w:rPr>
          <w:rFonts w:eastAsia="SPD TheSans" w:cs="SPD TheSans"/>
        </w:rPr>
        <w:t xml:space="preserve">m August hatten wir ein gutes Gespräch mit der Staatssekretärin Kathrin Anklam-Trapp </w:t>
      </w:r>
      <w:r>
        <w:rPr>
          <w:rFonts w:eastAsia="SPD TheSans" w:cs="SPD TheSans"/>
        </w:rPr>
        <w:t xml:space="preserve">in</w:t>
      </w:r>
      <w:r>
        <w:rPr>
          <w:rFonts w:eastAsia="SPD TheSans" w:cs="SPD TheSans"/>
        </w:rPr>
        <w:t xml:space="preserve"> Vertretung der Ministerin Sabine-</w:t>
      </w:r>
      <w:r>
        <w:rPr>
          <w:rFonts w:eastAsia="SPD TheSans" w:cs="SPD TheSans"/>
        </w:rPr>
        <w:t xml:space="preserve">Bätzing</w:t>
      </w:r>
      <w:r>
        <w:rPr>
          <w:rFonts w:eastAsia="SPD TheSans" w:cs="SPD TheSans"/>
        </w:rPr>
        <w:t xml:space="preserve">-</w:t>
      </w:r>
      <w:r>
        <w:rPr>
          <w:rFonts w:eastAsia="SPD TheSans" w:cs="SPD TheSans"/>
        </w:rPr>
        <w:t xml:space="preserve">Lichtenthäler</w:t>
      </w:r>
      <w:r>
        <w:rPr>
          <w:rFonts w:eastAsia="SPD TheSans" w:cs="SPD TheSans"/>
        </w:rPr>
        <w:t xml:space="preserve">. Dazu hatten wir 3 Themen e</w:t>
      </w:r>
      <w:r>
        <w:rPr>
          <w:rFonts w:eastAsia="SPD TheSans" w:cs="SPD TheSans"/>
        </w:rPr>
        <w:t xml:space="preserve">ingereicht.</w:t>
      </w:r>
      <w:r>
        <w:rPr>
          <w:rFonts w:cs="SPD TheSans"/>
        </w:rPr>
      </w:r>
      <w:r>
        <w:rPr>
          <w:rFonts w:cs="SPD TheSans"/>
        </w:rPr>
      </w:r>
    </w:p>
    <w:p w14:paraId="0C4F65D6" w14:textId="06B31C31">
      <w:pPr>
        <w:pBdr/>
        <w:spacing/>
        <w:ind/>
        <w:rPr>
          <w:rFonts w:cs="SPD TheSans"/>
          <w14:ligatures w14:val="none"/>
        </w:rPr>
      </w:pPr>
      <w:r>
        <w:rPr>
          <w:rFonts w:eastAsia="SPD TheSans" w:cs="SPD TheSans"/>
          <w:b/>
          <w:bCs/>
        </w:rPr>
        <w:t xml:space="preserve">Die Situation der Pflegestützpunkte</w:t>
      </w:r>
      <w:r>
        <w:rPr>
          <w:rFonts w:eastAsia="SPD TheSans" w:cs="SPD TheSans"/>
          <w:b/>
          <w:bCs/>
        </w:rPr>
        <w:br/>
      </w:r>
      <w:r>
        <w:rPr>
          <w:rFonts w:eastAsia="SPD TheSans" w:cs="SPD TheSans"/>
        </w:rPr>
        <w:t xml:space="preserve">Für einige der 135 (!) Pflegestützpunkte in R</w:t>
      </w:r>
      <w:r>
        <w:rPr>
          <w:rFonts w:eastAsia="SPD TheSans" w:cs="SPD TheSans"/>
        </w:rPr>
        <w:t xml:space="preserve">heinland-Pfalz</w:t>
      </w:r>
      <w:r>
        <w:rPr>
          <w:rFonts w:eastAsia="SPD TheSans" w:cs="SPD TheSans"/>
        </w:rPr>
        <w:t xml:space="preserve"> läuft die 10-Jahres-</w:t>
      </w:r>
      <w:r>
        <w:rPr>
          <w:rFonts w:eastAsia="SPD TheSans" w:cs="SPD TheSans"/>
        </w:rPr>
        <w:t xml:space="preserve">G</w:t>
      </w:r>
      <w:r>
        <w:rPr>
          <w:rFonts w:eastAsia="SPD TheSans" w:cs="SPD TheSans"/>
        </w:rPr>
        <w:t xml:space="preserve">arantie 2027 aus, was zu unsicheren Jobs und Personalverlusten bei den Trägern führt. </w:t>
      </w:r>
      <w:r>
        <w:rPr>
          <w:rFonts w:cs="SPD TheSans"/>
          <w14:ligatures w14:val="none"/>
        </w:rPr>
      </w:r>
      <w:r>
        <w:rPr>
          <w:rFonts w:cs="SPD TheSans"/>
          <w14:ligatures w14:val="none"/>
        </w:rPr>
      </w:r>
    </w:p>
    <w:p w14:paraId="15F8D188" w14:textId="29AFA891">
      <w:pPr>
        <w:pBdr/>
        <w:spacing/>
        <w:ind/>
        <w:rPr>
          <w:rFonts w:cs="SPD TheSans"/>
        </w:rPr>
      </w:pPr>
      <w:r>
        <w:rPr>
          <w:rFonts w:eastAsia="SPD TheSans" w:cs="SPD TheSans"/>
        </w:rPr>
        <w:t xml:space="preserve">Die Landesregierung hat aber die Pflegestützpunkte im Koalitionsvertrag verankert.</w:t>
      </w:r>
      <w:r>
        <w:rPr>
          <w:rFonts w:eastAsia="SPD TheSans" w:cs="SPD TheSans"/>
          <w:lang w:bidi="de-DE"/>
        </w:rPr>
        <w:t xml:space="preserve"> </w:t>
      </w:r>
      <w:r>
        <w:rPr>
          <w:rFonts w:eastAsia="SPD TheSans" w:cs="SPD TheSans"/>
        </w:rPr>
        <w:t xml:space="preserve">Da die Krankenkassen auch bete</w:t>
      </w:r>
      <w:r>
        <w:rPr>
          <w:rFonts w:eastAsia="SPD TheSans" w:cs="SPD TheSans"/>
        </w:rPr>
        <w:t xml:space="preserve">il</w:t>
      </w:r>
      <w:r>
        <w:rPr>
          <w:rFonts w:eastAsia="SPD TheSans" w:cs="SPD TheSans"/>
        </w:rPr>
        <w:t xml:space="preserve">igt sind, muss leider die Entscheidung des Bundes abgewart</w:t>
      </w:r>
      <w:r>
        <w:rPr>
          <w:rFonts w:eastAsia="SPD TheSans" w:cs="SPD TheSans"/>
        </w:rPr>
        <w:t xml:space="preserve">et wer</w:t>
      </w:r>
      <w:r>
        <w:rPr>
          <w:rFonts w:eastAsia="SPD TheSans" w:cs="SPD TheSans"/>
        </w:rPr>
        <w:t xml:space="preserve">de</w:t>
      </w:r>
      <w:r>
        <w:rPr>
          <w:rFonts w:eastAsia="SPD TheSans" w:cs="SPD TheSans"/>
        </w:rPr>
        <w:t xml:space="preserve">n. Bis dahin will das Land eine Überbrückungsfinanzierung versuchen.</w:t>
      </w:r>
      <w:r>
        <w:rPr>
          <w:rFonts w:cs="SPD TheSans"/>
        </w:rPr>
      </w:r>
      <w:r>
        <w:rPr>
          <w:rFonts w:cs="SPD TheSans"/>
        </w:rPr>
      </w:r>
    </w:p>
    <w:p w14:paraId="4E2C521C" w14:textId="77777777">
      <w:pPr>
        <w:pBdr/>
        <w:spacing/>
        <w:ind/>
        <w:rPr>
          <w:rFonts w:cs="SPD TheSans"/>
          <w:b/>
          <w:bCs/>
        </w:rPr>
      </w:pPr>
      <w:r>
        <w:rPr>
          <w:rFonts w:eastAsia="SPD TheSans" w:cs="SPD TheSans"/>
          <w:b/>
          <w:bCs/>
        </w:rPr>
        <w:t xml:space="preserve">Stand des Budgets für Arbeit</w:t>
      </w:r>
      <w:r>
        <w:rPr>
          <w:rFonts w:eastAsia="SPD TheSans" w:cs="SPD TheSans"/>
          <w:b/>
          <w:bCs/>
        </w:rPr>
        <w:br/>
      </w:r>
      <w:r>
        <w:rPr>
          <w:rFonts w:eastAsia="SPD TheSans" w:cs="SPD TheSans"/>
        </w:rPr>
        <w:t xml:space="preserve">Hier zeichnet sich eine erfreuliche Entwicklung ab.</w:t>
      </w:r>
      <w:r>
        <w:rPr>
          <w:rFonts w:cs="SPD TheSans"/>
          <w:b/>
          <w:bCs/>
        </w:rPr>
      </w:r>
      <w:r>
        <w:rPr>
          <w:rFonts w:cs="SPD TheSans"/>
          <w:b/>
          <w:bCs/>
        </w:rPr>
      </w:r>
    </w:p>
    <w:p w14:paraId="300B8C5C" w14:textId="362D0D83">
      <w:pPr>
        <w:pBdr/>
        <w:spacing/>
        <w:ind/>
        <w:rPr>
          <w:rFonts w:cs="SPD TheSans"/>
        </w:rPr>
      </w:pPr>
      <w:r>
        <w:rPr>
          <w:rFonts w:eastAsia="SPD TheSans" w:cs="SPD TheSans"/>
        </w:rPr>
        <w:t xml:space="preserve">Seit der Einführung – zunächst als Landesprogramm der damaligen Ministerin </w:t>
      </w:r>
      <w:r>
        <w:rPr>
          <w:rFonts w:eastAsia="SPD TheSans" w:cs="SPD TheSans"/>
        </w:rPr>
        <w:t xml:space="preserve">Malu</w:t>
      </w:r>
      <w:r>
        <w:rPr>
          <w:rFonts w:eastAsia="SPD TheSans" w:cs="SPD TheSans"/>
        </w:rPr>
        <w:t xml:space="preserve"> Dreyer – ist die Zahl der Menschen mit Behinderungen, die durch dieses Programm auf den 1. Arbeitsmarkt kamen, stetig gestiegen. 2024 (letzter Stand) waren es 572 Menschen.</w:t>
      </w:r>
      <w:r>
        <w:rPr>
          <w:rFonts w:eastAsia="SPD TheSans" w:cs="SPD TheSans"/>
        </w:rPr>
        <w:br/>
        <w:t xml:space="preserve">R</w:t>
      </w:r>
      <w:r>
        <w:rPr>
          <w:rFonts w:eastAsia="SPD TheSans" w:cs="SPD TheSans"/>
        </w:rPr>
        <w:t xml:space="preserve">heinland-</w:t>
      </w:r>
      <w:r>
        <w:rPr>
          <w:rFonts w:eastAsia="SPD TheSans" w:cs="SPD TheSans"/>
        </w:rPr>
        <w:t xml:space="preserve">Pfalz</w:t>
      </w:r>
      <w:r>
        <w:rPr>
          <w:rFonts w:eastAsia="SPD TheSans" w:cs="SPD TheSans"/>
        </w:rPr>
        <w:t xml:space="preserve"> wendete dafür rund 4.8 Mio. € auf.</w:t>
      </w:r>
      <w:r>
        <w:rPr>
          <w:rFonts w:cs="SPD TheSans"/>
        </w:rPr>
      </w:r>
      <w:r>
        <w:rPr>
          <w:rFonts w:cs="SPD TheSans"/>
        </w:rPr>
      </w:r>
    </w:p>
    <w:p w14:paraId="20E04DA6" w14:textId="77777777">
      <w:pPr>
        <w:pBdr/>
        <w:spacing/>
        <w:ind/>
        <w:rPr>
          <w:rFonts w:cs="SPD TheSans"/>
        </w:rPr>
      </w:pPr>
      <w:r>
        <w:rPr>
          <w:rFonts w:eastAsia="SPD TheSans" w:cs="SPD TheSans"/>
        </w:rPr>
        <w:t xml:space="preserve">Wir finden: Das ist vorbildlich.</w:t>
      </w:r>
      <w:r>
        <w:rPr>
          <w:rFonts w:cs="SPD TheSans"/>
        </w:rPr>
      </w:r>
      <w:r>
        <w:rPr>
          <w:rFonts w:cs="SPD TheSans"/>
        </w:rPr>
      </w:r>
    </w:p>
    <w:p w14:paraId="3E5D34C4" w14:textId="77777777">
      <w:pPr>
        <w:pBdr/>
        <w:spacing/>
        <w:ind/>
        <w:rPr>
          <w:rFonts w:cs="SPD TheSans"/>
          <w:b/>
          <w:bCs/>
        </w:rPr>
      </w:pPr>
      <w:r>
        <w:rPr>
          <w:rFonts w:eastAsia="SPD TheSans" w:cs="SPD TheSans"/>
          <w:b/>
          <w:bCs/>
        </w:rPr>
        <w:t xml:space="preserve">Budget für Ausbildung</w:t>
      </w:r>
      <w:r>
        <w:rPr>
          <w:rFonts w:eastAsia="SPD TheSans" w:cs="SPD TheSans"/>
          <w:b/>
          <w:bCs/>
        </w:rPr>
        <w:br/>
      </w:r>
      <w:r>
        <w:rPr>
          <w:rFonts w:eastAsia="SPD TheSans" w:cs="SPD TheSans"/>
        </w:rPr>
        <w:t xml:space="preserve">Dieses Programm ist noch ziemlich in den Anfängen.</w:t>
      </w:r>
      <w:r>
        <w:rPr>
          <w:rFonts w:cs="SPD TheSans"/>
          <w:b/>
          <w:bCs/>
        </w:rPr>
      </w:r>
      <w:r>
        <w:rPr>
          <w:rFonts w:cs="SPD TheSans"/>
          <w:b/>
          <w:bCs/>
        </w:rPr>
      </w:r>
    </w:p>
    <w:p w14:paraId="4F0A35A1" w14:textId="796C2703">
      <w:pPr>
        <w:pBdr/>
        <w:spacing/>
        <w:ind/>
        <w:rPr>
          <w:rFonts w:cs="SPD TheSans"/>
        </w:rPr>
      </w:pPr>
      <w:r>
        <w:rPr>
          <w:rFonts w:eastAsia="SPD TheSans" w:cs="SPD TheSans"/>
        </w:rPr>
        <w:t xml:space="preserve">Wir informierten darüber, dass wir bei der Bundeskonferenz die Erweiterung des berechtigten Personenkreises (Antrag aus Berlin) beschlossen haben. Unsere Anregung</w:t>
      </w:r>
      <w:r>
        <w:rPr>
          <w:rFonts w:eastAsia="SPD TheSans" w:cs="SPD TheSans"/>
        </w:rPr>
        <w:t xml:space="preserve">,</w:t>
      </w:r>
      <w:r>
        <w:rPr>
          <w:rFonts w:eastAsia="SPD TheSans" w:cs="SPD TheSans"/>
        </w:rPr>
        <w:t xml:space="preserve"> ein eigenes Ergänzungsprogramm zu prüfen, blieb aber auf der Strecke.</w:t>
      </w:r>
      <w:r>
        <w:rPr>
          <w:rFonts w:cs="SPD TheSans"/>
        </w:rPr>
      </w:r>
      <w:r>
        <w:rPr>
          <w:rFonts w:cs="SPD TheSans"/>
        </w:rPr>
      </w:r>
    </w:p>
    <w:p w14:paraId="17B08BF2" w14:textId="2C8C9AF0">
      <w:pPr>
        <w:pBdr/>
        <w:spacing/>
        <w:ind/>
        <w:rPr>
          <w:rFonts w:cs="SPD TheSans"/>
        </w:rPr>
      </w:pPr>
      <w:r>
        <w:rPr>
          <w:rFonts w:eastAsia="SPD TheSans" w:cs="SPD TheSans"/>
        </w:rPr>
        <w:t xml:space="preserve">Wir planen weitere Gespräche zum Thema Wohnen und Krankenhaus-</w:t>
      </w:r>
      <w:r>
        <w:rPr>
          <w:rFonts w:eastAsia="SPD TheSans" w:cs="SPD TheSans"/>
        </w:rPr>
        <w:t xml:space="preserve">R</w:t>
      </w:r>
      <w:r>
        <w:rPr>
          <w:rFonts w:eastAsia="SPD TheSans" w:cs="SPD TheSans"/>
        </w:rPr>
        <w:t xml:space="preserve">eform.</w:t>
      </w:r>
      <w:r>
        <w:rPr>
          <w:rFonts w:cs="SPD TheSans"/>
        </w:rPr>
      </w:r>
      <w:r>
        <w:rPr>
          <w:rFonts w:cs="SPD TheSans"/>
        </w:rPr>
      </w:r>
    </w:p>
    <w:p w14:paraId="5EB5060C" w14:textId="21100FF7">
      <w:pPr>
        <w:pBdr/>
        <w:spacing/>
        <w:ind/>
        <w:rPr>
          <w:rFonts w:cs="SPD TheSans"/>
        </w:rPr>
      </w:pPr>
      <w:r>
        <w:rPr>
          <w:rFonts w:eastAsia="SPD TheSans" w:cs="SPD TheSans"/>
        </w:rPr>
        <w:t xml:space="preserve">In ein paar Tagen gibt es hier seitens des Landesverbandes ein großes Treffen aller Arbeitsgemeinschaften in R</w:t>
      </w:r>
      <w:r>
        <w:rPr>
          <w:rFonts w:eastAsia="SPD TheSans" w:cs="SPD TheSans"/>
        </w:rPr>
        <w:t xml:space="preserve">hei</w:t>
      </w:r>
      <w:r>
        <w:rPr>
          <w:rFonts w:eastAsia="SPD TheSans" w:cs="SPD TheSans"/>
        </w:rPr>
        <w:t xml:space="preserve">nland-</w:t>
      </w:r>
      <w:r>
        <w:rPr>
          <w:rFonts w:eastAsia="SPD TheSans" w:cs="SPD TheSans"/>
        </w:rPr>
        <w:t xml:space="preserve">P</w:t>
      </w:r>
      <w:r>
        <w:rPr>
          <w:rFonts w:eastAsia="SPD TheSans" w:cs="SPD TheSans"/>
        </w:rPr>
        <w:t xml:space="preserve">falz</w:t>
      </w:r>
      <w:r>
        <w:rPr>
          <w:rFonts w:eastAsia="SPD TheSans" w:cs="SPD TheSans"/>
        </w:rPr>
        <w:t xml:space="preserve"> als Zukunftskonferenz – erstmals seit über 10 Jahren. </w:t>
      </w:r>
      <w:r>
        <w:rPr>
          <w:rFonts w:cs="SPD TheSans"/>
        </w:rPr>
      </w:r>
      <w:r>
        <w:rPr>
          <w:rFonts w:cs="SPD TheSans"/>
        </w:rPr>
      </w:r>
    </w:p>
    <w:p w14:paraId="5D960F03" w14:textId="77777777">
      <w:pPr>
        <w:pBdr/>
        <w:spacing/>
        <w:ind/>
        <w:rPr>
          <w:rFonts w:cs="SPD TheSans"/>
        </w:rPr>
      </w:pPr>
      <w:r>
        <w:rPr>
          <w:rFonts w:eastAsia="SPD TheSans" w:cs="SPD TheSans"/>
        </w:rPr>
        <w:t xml:space="preserve">Wir werden berichten.</w:t>
      </w:r>
      <w:r>
        <w:rPr>
          <w:rFonts w:cs="SPD TheSans"/>
        </w:rPr>
      </w:r>
      <w:r>
        <w:rPr>
          <w:rFonts w:cs="SPD TheSans"/>
        </w:rPr>
      </w:r>
    </w:p>
    <w:p w14:paraId="1EF029C9" w14:textId="77777777">
      <w:pPr>
        <w:pBdr/>
        <w:spacing/>
        <w:ind/>
        <w:rPr>
          <w:rFonts w:cs="SPD TheSans"/>
        </w:rPr>
      </w:pPr>
      <w:r>
        <w:rPr>
          <w:rFonts w:cs="SPD TheSans"/>
        </w:rPr>
      </w:r>
      <w:r>
        <w:rPr>
          <w:rFonts w:cs="SPD TheSans"/>
        </w:rPr>
      </w:r>
      <w:r>
        <w:rPr>
          <w:rFonts w:cs="SPD TheSans"/>
        </w:rPr>
      </w:r>
    </w:p>
    <w:p w14:paraId="6E658A47" w14:textId="77777777">
      <w:pPr>
        <w:pBdr/>
        <w:spacing/>
        <w:ind/>
        <w:rPr>
          <w:rFonts w:cs="SPD TheSans"/>
        </w:rPr>
      </w:pPr>
      <w:r>
        <w:rPr>
          <w:rFonts w:cs="SPD TheSans"/>
        </w:rPr>
      </w:r>
      <w:r>
        <w:rPr>
          <w:rFonts w:cs="SPD TheSans"/>
        </w:rPr>
      </w:r>
      <w:r>
        <w:rPr>
          <w:rFonts w:cs="SPD TheSans"/>
        </w:rPr>
      </w:r>
    </w:p>
    <w:p w14:paraId="5F2C1621" w14:textId="77777777">
      <w:pPr>
        <w:pStyle w:val="939"/>
        <w:pBdr/>
        <w:spacing/>
        <w:ind/>
        <w:rPr>
          <w:rFonts w:cs="SPD TheSans"/>
          <w14:ligatures w14:val="none"/>
        </w:rPr>
      </w:pPr>
      <w:r/>
      <w:bookmarkStart w:id="90" w:name="_Toc8"/>
      <w:r>
        <w:rPr>
          <w:rFonts w:eastAsia="SPD TheSans" w:cs="SPD TheSans"/>
        </w:rPr>
        <w:t xml:space="preserve">Bundessozialgericht (BSG) zum Merkzeichen „erhebliche Gehbehinderung“ (G)</w:t>
      </w:r>
      <w:r/>
      <w:bookmarkEnd w:id="90"/>
      <w:r/>
      <w:r>
        <w:rPr>
          <w:rFonts w:cs="SPD TheSans"/>
          <w14:ligatures w14:val="none"/>
        </w:rPr>
      </w:r>
    </w:p>
    <w:p w14:paraId="6FFEC04F" w14:textId="77777777">
      <w:pPr>
        <w:pBdr/>
        <w:spacing/>
        <w:ind/>
        <w:rPr>
          <w:rFonts w:cs="SPD TheSans"/>
        </w:rPr>
      </w:pPr>
      <w:r>
        <w:rPr>
          <w:rFonts w:eastAsia="SPD TheSans" w:cs="SPD TheSans"/>
          <w:i/>
          <w:iCs/>
          <w:sz w:val="24"/>
          <w:szCs w:val="24"/>
        </w:rPr>
        <w:t xml:space="preserve">Recherche: Henry </w:t>
      </w:r>
      <w:r>
        <w:rPr>
          <w:rFonts w:eastAsia="SPD TheSans" w:cs="SPD TheSans"/>
          <w:i/>
          <w:iCs/>
          <w:sz w:val="24"/>
          <w:szCs w:val="24"/>
        </w:rPr>
        <w:t xml:space="preserve">Spradau</w:t>
      </w:r>
      <w:r>
        <w:rPr>
          <w:rFonts w:cs="SPD TheSans"/>
        </w:rPr>
      </w:r>
      <w:r>
        <w:rPr>
          <w:rFonts w:cs="SPD TheSans"/>
        </w:rPr>
      </w:r>
    </w:p>
    <w:p w14:paraId="4FC7C69E" w14:textId="77777777">
      <w:pPr>
        <w:pBdr/>
        <w:spacing/>
        <w:ind/>
        <w:rPr>
          <w:rFonts w:cs="SPD TheSans"/>
        </w:rPr>
      </w:pPr>
      <w:r>
        <w:rPr>
          <w:rFonts w:eastAsia="SPD TheSans" w:cs="SPD TheSans"/>
        </w:rPr>
        <w:t xml:space="preserve">In einem Urteil von Juni 2026 hat das BSG festgestellt, das</w:t>
      </w:r>
      <w:r>
        <w:rPr>
          <w:rFonts w:eastAsia="SPD TheSans" w:cs="SPD TheSans"/>
        </w:rPr>
        <w:t xml:space="preserve">s im Schwerbehindertenrecht ein Anspruch auf die Feststellung der gesundheitlichen Voraussetzungen für das Merkzeichen G (erhebliche Beeinträchtigung der Bewegungsfähigkeit im Straßenverkehr) bei starker Adipositas und weiteren Erkrankungen bestehen kann. </w:t>
      </w:r>
      <w:r>
        <w:rPr>
          <w:rFonts w:cs="SPD TheSans"/>
        </w:rPr>
      </w:r>
      <w:r>
        <w:rPr>
          <w:rFonts w:cs="SPD TheSans"/>
        </w:rPr>
      </w:r>
    </w:p>
    <w:p w14:paraId="7415D108" w14:textId="77777777">
      <w:pPr>
        <w:pBdr/>
        <w:spacing/>
        <w:ind/>
        <w:rPr>
          <w:rFonts w:cs="SPD TheSans"/>
        </w:rPr>
      </w:pPr>
      <w:r>
        <w:rPr>
          <w:rFonts w:eastAsia="SPD TheSans" w:cs="SPD TheSans"/>
        </w:rPr>
        <w:t xml:space="preserve">Der Entscheidung lag folgender Sachverhalt zugrunde:</w:t>
      </w:r>
      <w:r>
        <w:rPr>
          <w:rFonts w:cs="SPD TheSans"/>
        </w:rPr>
      </w:r>
      <w:r>
        <w:rPr>
          <w:rFonts w:cs="SPD TheSans"/>
        </w:rPr>
      </w:r>
    </w:p>
    <w:p w14:paraId="5D10439F" w14:textId="77777777">
      <w:pPr>
        <w:pBdr/>
        <w:spacing/>
        <w:ind/>
        <w:rPr>
          <w:rFonts w:cs="SPD TheSans"/>
        </w:rPr>
      </w:pPr>
      <w:r>
        <w:rPr>
          <w:rFonts w:eastAsia="SPD TheSans" w:cs="SPD TheSans"/>
        </w:rPr>
        <w:t xml:space="preserve">Bei dem Kläger liegt eine Adipositas per magna (Fett</w:t>
      </w:r>
      <w:r>
        <w:rPr>
          <w:rFonts w:eastAsia="SPD TheSans" w:cs="SPD TheSans"/>
        </w:rPr>
        <w:t xml:space="preserve">leibigkeit dritten Grades) in Verbindung mit Schmerzen, orthopädischen Beeinträchtigungen, Gelenkbeschwerden, Bluthochdruck, Herzrhythmusstörungen, Kniegelenksarthrose und Atemnot vor. Er ist 1,72 groß und wiegt 137 kg. Der Grad der Behinderung beträgt 50.</w:t>
      </w:r>
      <w:r>
        <w:rPr>
          <w:rFonts w:cs="SPD TheSans"/>
        </w:rPr>
      </w:r>
      <w:r>
        <w:rPr>
          <w:rFonts w:cs="SPD TheSans"/>
        </w:rPr>
      </w:r>
    </w:p>
    <w:p w14:paraId="2D36A896" w14:textId="77777777">
      <w:pPr>
        <w:pBdr/>
        <w:spacing/>
        <w:ind/>
        <w:rPr>
          <w:rFonts w:cs="SPD TheSans"/>
        </w:rPr>
      </w:pPr>
      <w:r>
        <w:rPr>
          <w:rFonts w:eastAsia="SPD TheSans" w:cs="SPD TheSans"/>
        </w:rPr>
        <w:t xml:space="preserve">Das Verso</w:t>
      </w:r>
      <w:r>
        <w:rPr>
          <w:rFonts w:eastAsia="SPD TheSans" w:cs="SPD TheSans"/>
        </w:rPr>
        <w:t xml:space="preserve">rgungsamt hatte die Feststellung des Merkzeichens G abgelehnt. Die erhobene Klage vor dem Sozialgericht (SG) war erfolgreich. Der dagegen erhobenen Berufung gab das Landessozialgericht Niedersachsen-Bremen (LSG) statt. Das BSG hob jedoch das Urteil des LSG</w:t>
      </w:r>
      <w:r>
        <w:rPr>
          <w:rFonts w:eastAsia="SPD TheSans" w:cs="SPD TheSans"/>
        </w:rPr>
        <w:t xml:space="preserve"> auf und wies die Berufung gegen das Urteil des SG zurück. </w:t>
      </w:r>
      <w:r>
        <w:rPr>
          <w:rFonts w:cs="SPD TheSans"/>
        </w:rPr>
      </w:r>
      <w:r>
        <w:rPr>
          <w:rFonts w:cs="SPD TheSans"/>
        </w:rPr>
      </w:r>
    </w:p>
    <w:p w14:paraId="426054A8" w14:textId="77777777">
      <w:pPr>
        <w:pBdr/>
        <w:spacing/>
        <w:ind/>
        <w:rPr>
          <w:rFonts w:cs="SPD TheSans"/>
        </w:rPr>
      </w:pPr>
      <w:r>
        <w:rPr>
          <w:rFonts w:eastAsia="SPD TheSans" w:cs="SPD TheSans"/>
        </w:rPr>
        <w:t xml:space="preserve">Zur Begründung führte es u.a. aus, dass zwar kein Regelfall im Sinne der Versorgungsmedizin-Verordnung vorliege. Allerdings seien die Voraussetzungen für eine Gleichbeh</w:t>
      </w:r>
      <w:r>
        <w:rPr>
          <w:rFonts w:eastAsia="SPD TheSans" w:cs="SPD TheSans"/>
        </w:rPr>
        <w:t xml:space="preserve">andlung hier zu bejahen. Denn die vorliegende Adipositas in Verbindung mit den übrigen Erkrankungen falle unter den Behinderungsbegriff des Schwerbehindertenrechts, weil der Kläger infolge der Adipositas und den Folge- und Begleitschäden sowie besonderen f</w:t>
      </w:r>
      <w:r>
        <w:rPr>
          <w:rFonts w:eastAsia="SPD TheSans" w:cs="SPD TheSans"/>
        </w:rPr>
        <w:t xml:space="preserve">unktionellen Auswirkungen auch in seinem Gehvermögen eingeschränkt sei. Er könne mit Gehstütze oder Rollator nur noch eine Gehstrecke von 200 bis 300 Metern zurücklegen und sei daher erheblich in seiner Bewegungsfähigkeit im Straßenverkehr beeinträchtigt. </w:t>
      </w:r>
      <w:r>
        <w:rPr>
          <w:rFonts w:cs="SPD TheSans"/>
        </w:rPr>
      </w:r>
      <w:r>
        <w:rPr>
          <w:rFonts w:cs="SPD TheSans"/>
        </w:rPr>
      </w:r>
    </w:p>
    <w:p w14:paraId="1940D616" w14:textId="77777777">
      <w:pPr>
        <w:pBdr/>
        <w:spacing/>
        <w:ind/>
        <w:rPr>
          <w:rFonts w:cs="SPD TheSans"/>
        </w:rPr>
      </w:pPr>
      <w:r>
        <w:rPr>
          <w:rFonts w:eastAsia="SPD TheSans" w:cs="SPD TheSans"/>
        </w:rPr>
        <w:t xml:space="preserve">Dies rechtfertige eine Gleichstellung mit einem Regel</w:t>
      </w:r>
      <w:r>
        <w:rPr>
          <w:rFonts w:eastAsia="SPD TheSans" w:cs="SPD TheSans"/>
        </w:rPr>
        <w:t xml:space="preserve">fall im Sinne der versorgungsmedizinischen Grundsätze. Dafür sei nicht entscheidend, auf welcher Behinderung die Einschränkung der Bewegungsfähigkeit im Einzelnen beruhe, sondern wie stark sich die gesundheitliche Gesamtsituation darauf im Alltag auswirke.</w:t>
      </w:r>
      <w:r>
        <w:rPr>
          <w:rFonts w:cs="SPD TheSans"/>
        </w:rPr>
      </w:r>
      <w:r>
        <w:rPr>
          <w:rFonts w:cs="SPD TheSans"/>
        </w:rPr>
      </w:r>
    </w:p>
    <w:p w14:paraId="454440D9" w14:textId="77777777">
      <w:pPr>
        <w:pBdr/>
        <w:spacing/>
        <w:ind/>
        <w:rPr>
          <w:rFonts w:cs="SPD TheSans"/>
        </w:rPr>
      </w:pPr>
      <w:r>
        <w:rPr>
          <w:rFonts w:eastAsia="SPD TheSans" w:cs="SPD TheSans"/>
        </w:rPr>
        <w:t xml:space="preserve">Urteil BSG vom 11.6.2026 -B 9 SB 1/25 R</w:t>
      </w:r>
      <w:r>
        <w:rPr>
          <w:rFonts w:cs="SPD TheSans"/>
        </w:rPr>
      </w:r>
      <w:r>
        <w:rPr>
          <w:rFonts w:cs="SPD TheSans"/>
        </w:rPr>
      </w:r>
    </w:p>
    <w:p w14:paraId="2383EDAC" w14:textId="77777777">
      <w:pPr>
        <w:pBdr/>
        <w:spacing/>
        <w:ind/>
        <w:rPr>
          <w:rFonts w:cs="SPD TheSans"/>
        </w:rPr>
      </w:pPr>
      <w:r>
        <w:rPr>
          <w:rFonts w:eastAsia="SPD TheSans" w:cs="SPD TheSans"/>
        </w:rPr>
        <w:t xml:space="preserve">Vorinstanzen:</w:t>
      </w:r>
      <w:r>
        <w:rPr>
          <w:rFonts w:eastAsia="SPD TheSans" w:cs="SPD TheSans"/>
        </w:rPr>
        <w:br/>
        <w:t xml:space="preserve">Urteil SG Stade vom 18.4.2024 - S 2 SB 49/21</w:t>
      </w:r>
      <w:r>
        <w:rPr>
          <w:rFonts w:eastAsia="SPD TheSans" w:cs="SPD TheSans"/>
        </w:rPr>
        <w:br/>
        <w:t xml:space="preserve">Urteil LSG Niedersachsen-Bremen vom 20.8.2025 - L 13 SB 31/24</w:t>
      </w:r>
      <w:r>
        <w:rPr>
          <w:rFonts w:cs="SPD TheSans"/>
        </w:rPr>
      </w:r>
      <w:r>
        <w:rPr>
          <w:rFonts w:cs="SPD TheSans"/>
        </w:rPr>
      </w:r>
    </w:p>
    <w:p w14:paraId="3A5B15F4" w14:textId="77777777">
      <w:pPr>
        <w:pBdr/>
        <w:spacing/>
        <w:ind/>
        <w:rPr>
          <w:rFonts w:cs="SPD TheSans"/>
        </w:rPr>
      </w:pPr>
      <w:r>
        <w:rPr>
          <w:rFonts w:cs="SPD TheSans"/>
        </w:rPr>
      </w:r>
      <w:r>
        <w:rPr>
          <w:rFonts w:cs="SPD TheSans"/>
        </w:rPr>
      </w:r>
      <w:r>
        <w:rPr>
          <w:rFonts w:cs="SPD TheSans"/>
        </w:rPr>
      </w:r>
    </w:p>
    <w:p w14:paraId="05CF7603" w14:textId="77777777">
      <w:pPr>
        <w:pBdr/>
        <w:spacing/>
        <w:ind/>
        <w:rPr>
          <w:rFonts w:cs="SPD TheSans"/>
        </w:rPr>
      </w:pPr>
      <w:r>
        <w:rPr>
          <w:rFonts w:cs="SPD TheSans"/>
        </w:rPr>
      </w:r>
      <w:r>
        <w:rPr>
          <w:rFonts w:cs="SPD TheSans"/>
        </w:rPr>
      </w:r>
      <w:r>
        <w:rPr>
          <w:rFonts w:cs="SPD TheSans"/>
        </w:rPr>
      </w:r>
    </w:p>
    <w:p w14:paraId="0FDA2D2B" w14:textId="77777777">
      <w:pPr>
        <w:pStyle w:val="939"/>
        <w:pBdr/>
        <w:spacing/>
        <w:ind/>
        <w:rPr>
          <w:rFonts w:cs="SPD TheSans"/>
          <w14:ligatures w14:val="none"/>
        </w:rPr>
      </w:pPr>
      <w:r/>
      <w:bookmarkStart w:id="91" w:name="_Toc9"/>
      <w:r>
        <w:rPr>
          <w:rFonts w:eastAsia="SPD TheSans" w:cs="SPD TheSans"/>
          <w:lang w:bidi="de-DE"/>
        </w:rPr>
        <w:t xml:space="preserve">Fatales Signal für Schulbegleiter in Hamburg zu kürzen</w:t>
      </w:r>
      <w:r/>
      <w:bookmarkEnd w:id="91"/>
      <w:r/>
      <w:r>
        <w:rPr>
          <w:rFonts w:cs="SPD TheSans"/>
          <w14:ligatures w14:val="none"/>
        </w:rPr>
      </w:r>
    </w:p>
    <w:p w14:paraId="170FE986" w14:textId="77777777">
      <w:pPr>
        <w:pBdr>
          <w:top w:val="none" w:color="000000" w:sz="4" w:space="0"/>
          <w:left w:val="none" w:color="000000" w:sz="4" w:space="0"/>
          <w:bottom w:val="none" w:color="000000" w:sz="4" w:space="0"/>
          <w:right w:val="none" w:color="000000" w:sz="4" w:space="0"/>
        </w:pBdr>
        <w:spacing/>
        <w:ind/>
        <w:rPr>
          <w:rFonts w:cs="SPD TheSans"/>
          <w:bCs/>
          <w:i/>
          <w:szCs w:val="24"/>
        </w:rPr>
      </w:pPr>
      <w:r>
        <w:rPr>
          <w:rFonts w:eastAsia="SPD TheSans" w:cs="SPD TheSans"/>
          <w:i/>
          <w:iCs/>
          <w:sz w:val="24"/>
          <w:szCs w:val="24"/>
          <w:lang w:bidi="de-DE"/>
        </w:rPr>
        <w:t xml:space="preserve">Text: </w:t>
      </w:r>
      <w:r>
        <w:rPr>
          <w:rFonts w:eastAsia="SPD TheSans" w:cs="SPD TheSans"/>
          <w:i/>
          <w:iCs/>
          <w:color w:val="000000"/>
          <w:sz w:val="24"/>
          <w:szCs w:val="24"/>
        </w:rPr>
        <w:t xml:space="preserve">Diana </w:t>
      </w:r>
      <w:r>
        <w:rPr>
          <w:rFonts w:eastAsia="SPD TheSans" w:cs="SPD TheSans"/>
          <w:i/>
          <w:iCs/>
          <w:color w:val="000000"/>
          <w:sz w:val="24"/>
          <w:szCs w:val="24"/>
        </w:rPr>
        <w:t xml:space="preserve">Hömmen</w:t>
      </w:r>
      <w:r>
        <w:rPr>
          <w:rFonts w:eastAsia="SPD TheSans" w:cs="SPD TheSans"/>
          <w:i/>
          <w:iCs/>
          <w:color w:val="000000"/>
          <w:sz w:val="24"/>
          <w:szCs w:val="24"/>
        </w:rPr>
        <w:t xml:space="preserve">, </w:t>
      </w:r>
      <w:r>
        <w:rPr>
          <w:rFonts w:eastAsia="SPD TheSans" w:cs="SPD TheSans"/>
          <w:i/>
          <w:iCs/>
          <w:color w:val="000000"/>
          <w:sz w:val="24"/>
          <w:szCs w:val="24"/>
        </w:rPr>
        <w:t xml:space="preserve">Benstrup</w:t>
      </w:r>
      <w:r>
        <w:rPr>
          <w:rFonts w:cs="SPD TheSans"/>
          <w:bCs/>
          <w:i/>
          <w:szCs w:val="24"/>
        </w:rPr>
      </w:r>
      <w:r>
        <w:rPr>
          <w:rFonts w:cs="SPD TheSans"/>
          <w:bCs/>
          <w:i/>
          <w:szCs w:val="24"/>
        </w:rPr>
      </w:r>
    </w:p>
    <w:p w14:paraId="607F1B73" w14:textId="77777777">
      <w:pPr>
        <w:pBdr/>
        <w:spacing/>
        <w:ind/>
        <w:rPr>
          <w:rFonts w:cs="SPD TheSans"/>
        </w:rPr>
      </w:pPr>
      <w:r>
        <w:rPr>
          <w:rFonts w:eastAsia="SPD TheSans" w:cs="SPD TheSans"/>
          <w:lang w:bidi="de-DE"/>
        </w:rPr>
        <w:t xml:space="preserve">Die Kürzung der Schulbegleiter in Hamburg und der dazu geführten Petition zeigt, was im deutschen Schulsystem nicht funktioniert. In der MOPO-Ausgabe vom 3.Juli wird es genau auf den Punkt gebracht.</w:t>
      </w:r>
      <w:r>
        <w:rPr>
          <w:rFonts w:cs="SPD TheSans"/>
        </w:rPr>
      </w:r>
      <w:r>
        <w:rPr>
          <w:rFonts w:cs="SPD TheSans"/>
        </w:rPr>
      </w:r>
    </w:p>
    <w:p w14:paraId="034F6A9C" w14:textId="77777777">
      <w:pPr>
        <w:pBdr/>
        <w:spacing/>
        <w:ind/>
        <w:rPr>
          <w:rFonts w:cs="SPD TheSans"/>
        </w:rPr>
      </w:pPr>
      <w:r>
        <w:rPr>
          <w:rFonts w:eastAsia="SPD TheSans" w:cs="SPD TheSans"/>
          <w:lang w:bidi="de-DE"/>
        </w:rPr>
        <w:t xml:space="preserve">In Juni 2026 erschien vom Deutsches Institut für Menschenrechte die Studie der Monitoring</w:t>
      </w:r>
      <w:r>
        <w:rPr>
          <w:rFonts w:eastAsia="SPD TheSans" w:cs="SPD TheSans"/>
          <w:lang w:bidi="de-DE"/>
        </w:rPr>
        <w:t xml:space="preserve">-Stelle zur UN-Behindertenrechtskonvention Analyse Inklusive Bildung zwischen Wunsch und Wirklichkeit. Dieser Satz trifft genau: Deutschland ist als Vertragsstaat der UN-Behindertenrechtskonvention verpflichtet, ein inklusives Schulsystem zu verwirklichen </w:t>
      </w:r>
      <w:r>
        <w:rPr>
          <w:rFonts w:eastAsia="SPD TheSans" w:cs="SPD TheSans"/>
          <w:lang w:bidi="de-DE"/>
        </w:rPr>
        <w:t xml:space="preserve">sowie Diskriminierungen und Aussonderungen zu verhindern. Trotz rechtlicher und zahlreicher bildungspolitischer Reformen ist Deutschland von einer flächendeckenden inklusiven Schullandschaft, wie sie Artikel 24 UN-BRK vorschreibt, immer noch weit entfernt.</w:t>
      </w:r>
      <w:r>
        <w:rPr>
          <w:rFonts w:cs="SPD TheSans"/>
        </w:rPr>
      </w:r>
      <w:r>
        <w:rPr>
          <w:rFonts w:cs="SPD TheSans"/>
        </w:rPr>
      </w:r>
    </w:p>
    <w:p w14:paraId="47134710" w14:textId="2F33D979">
      <w:pPr>
        <w:pBdr/>
        <w:spacing/>
        <w:ind/>
        <w:rPr>
          <w:rFonts w:cs="SPD TheSans"/>
        </w:rPr>
      </w:pPr>
      <w:r>
        <w:rPr>
          <w:rFonts w:eastAsia="SPD TheSans" w:cs="SPD TheSans"/>
          <w:lang w:bidi="de-DE"/>
        </w:rPr>
        <w:t xml:space="preserve">Das Beispiel, Pooling drei Kinder aus drei Klassen mit unterschiedlichem B</w:t>
      </w:r>
      <w:r>
        <w:rPr>
          <w:rFonts w:eastAsia="SPD TheSans" w:cs="SPD TheSans"/>
          <w:lang w:bidi="de-DE"/>
        </w:rPr>
        <w:t xml:space="preserve">edarf zu betreuen ist schon abenteuerlich. Gibt der Lehrerschaft keine wirkliche Unterstützung. Aussicht der Schulgesundheitspflege muss eine Schulbegleitung eine Ausbildung erhalten, da Kinderpsychologie ein wichtiges Element ist. Ein großer Fehler ist es</w:t>
      </w:r>
      <w:r>
        <w:rPr>
          <w:rFonts w:eastAsia="SPD TheSans" w:cs="SPD TheSans"/>
          <w:lang w:bidi="de-DE"/>
        </w:rPr>
        <w:t xml:space="preserve">,</w:t>
      </w:r>
      <w:r>
        <w:rPr>
          <w:rFonts w:eastAsia="SPD TheSans" w:cs="SPD TheSans"/>
          <w:lang w:bidi="de-DE"/>
        </w:rPr>
        <w:t xml:space="preserve"> FSJ-Kräfte ein</w:t>
      </w:r>
      <w:r>
        <w:rPr>
          <w:rFonts w:eastAsia="SPD TheSans" w:cs="SPD TheSans"/>
          <w:lang w:bidi="de-DE"/>
        </w:rPr>
        <w:t xml:space="preserve">zu</w:t>
      </w:r>
      <w:r>
        <w:rPr>
          <w:rFonts w:eastAsia="SPD TheSans" w:cs="SPD TheSans"/>
          <w:lang w:bidi="de-DE"/>
        </w:rPr>
        <w:t xml:space="preserve">setzen, die von Pädagogik</w:t>
      </w:r>
      <w:r>
        <w:rPr>
          <w:rFonts w:eastAsia="SPD TheSans" w:cs="SPD TheSans"/>
          <w:lang w:bidi="de-DE"/>
        </w:rPr>
        <w:t xml:space="preserve">,</w:t>
      </w:r>
      <w:r>
        <w:rPr>
          <w:rFonts w:eastAsia="SPD TheSans" w:cs="SPD TheSans"/>
          <w:lang w:bidi="de-DE"/>
        </w:rPr>
        <w:t xml:space="preserve"> geschweige denn Sonderpädagogik etwas verstehen. Dies ist ein </w:t>
      </w:r>
      <w:r>
        <w:rPr>
          <w:rFonts w:eastAsia="SPD TheSans" w:cs="SPD TheSans"/>
          <w:lang w:bidi="de-DE"/>
        </w:rPr>
        <w:t xml:space="preserve">a</w:t>
      </w:r>
      <w:r>
        <w:rPr>
          <w:rFonts w:eastAsia="SPD TheSans" w:cs="SPD TheSans"/>
          <w:lang w:bidi="de-DE"/>
        </w:rPr>
        <w:t xml:space="preserve">benteuerliches </w:t>
      </w:r>
      <w:r>
        <w:rPr>
          <w:rFonts w:eastAsia="SPD TheSans" w:cs="SPD TheSans"/>
          <w:lang w:bidi="de-DE"/>
        </w:rPr>
        <w:t xml:space="preserve">U</w:t>
      </w:r>
      <w:r>
        <w:rPr>
          <w:rFonts w:eastAsia="SPD TheSans" w:cs="SPD TheSans"/>
          <w:lang w:bidi="de-DE"/>
        </w:rPr>
        <w:t xml:space="preserve">nterf</w:t>
      </w:r>
      <w:r>
        <w:rPr>
          <w:rFonts w:eastAsia="SPD TheSans" w:cs="SPD TheSans"/>
          <w:lang w:bidi="de-DE"/>
        </w:rPr>
        <w:t xml:space="preserve">angen, hier wird Geld am falschen Ende gespart. Schulgesundheitspflege fordert gesetzliche Verankerung, dauerhafte Finanzierung und bundeseinheitliche Qualifikationsstandards. Schulgesundheitspflege als Mittelpunkt im Schulsystem (Koordinationsmittelpunkt)</w:t>
      </w:r>
      <w:r>
        <w:rPr>
          <w:rFonts w:eastAsia="SPD TheSans" w:cs="SPD TheSans"/>
          <w:lang w:bidi="de-DE"/>
        </w:rPr>
        <w:t xml:space="preserve"> ist eine Investition in Kindergesundheit, Bildungserfolg sowie eine leistungsfähige und zukunftsfähige Gesellschaft.</w:t>
      </w:r>
      <w:r>
        <w:rPr>
          <w:rFonts w:cs="SPD TheSans"/>
        </w:rPr>
      </w:r>
      <w:r>
        <w:rPr>
          <w:rFonts w:cs="SPD TheSans"/>
        </w:rPr>
      </w:r>
    </w:p>
    <w:p w14:paraId="041E6825" w14:textId="381B7465">
      <w:pPr>
        <w:pBdr/>
        <w:spacing/>
        <w:ind/>
        <w:rPr>
          <w:rFonts w:cs="SPD TheSans"/>
        </w:rPr>
      </w:pPr>
      <w:r>
        <w:rPr>
          <w:rFonts w:eastAsia="SPD TheSans" w:cs="SPD TheSans"/>
          <w:lang w:bidi="de-DE"/>
        </w:rPr>
        <w:t xml:space="preserve">Die </w:t>
      </w:r>
      <w:r>
        <w:rPr>
          <w:rFonts w:eastAsia="SPD TheSans" w:cs="SPD TheSans"/>
          <w:lang w:bidi="de-DE"/>
        </w:rPr>
        <w:t xml:space="preserve">Bildungssenatorin beteuert</w:t>
      </w:r>
      <w:r>
        <w:rPr>
          <w:rFonts w:eastAsia="SPD TheSans" w:cs="SPD TheSans"/>
          <w:lang w:bidi="de-DE"/>
        </w:rPr>
        <w:t xml:space="preserve">, </w:t>
      </w:r>
      <w:r>
        <w:rPr>
          <w:rFonts w:eastAsia="SPD TheSans" w:cs="SPD TheSans"/>
          <w:lang w:bidi="de-DE"/>
        </w:rPr>
        <w:t xml:space="preserve">die </w:t>
      </w:r>
      <w:r>
        <w:rPr>
          <w:rFonts w:eastAsia="SPD TheSans" w:cs="SPD TheSans"/>
          <w:lang w:bidi="de-DE"/>
        </w:rPr>
        <w:t xml:space="preserve">Reformpläne der</w:t>
      </w:r>
      <w:r>
        <w:rPr>
          <w:rFonts w:eastAsia="SPD TheSans" w:cs="SPD TheSans"/>
          <w:lang w:bidi="de-DE"/>
        </w:rPr>
        <w:t xml:space="preserve"> </w:t>
      </w:r>
      <w:r>
        <w:rPr>
          <w:rFonts w:eastAsia="SPD TheSans" w:cs="SPD TheSans"/>
          <w:lang w:bidi="de-DE"/>
        </w:rPr>
        <w:t xml:space="preserve">Inklusion</w:t>
      </w:r>
      <w:r>
        <w:rPr>
          <w:rFonts w:eastAsia="SPD TheSans" w:cs="SPD TheSans"/>
          <w:lang w:bidi="de-DE"/>
        </w:rPr>
        <w:t xml:space="preserve"> </w:t>
      </w:r>
      <w:r>
        <w:rPr>
          <w:rFonts w:eastAsia="SPD TheSans" w:cs="SPD TheSans"/>
          <w:lang w:bidi="de-DE"/>
        </w:rPr>
        <w:t xml:space="preserve">stehen</w:t>
      </w:r>
      <w:r>
        <w:rPr>
          <w:rFonts w:eastAsia="SPD TheSans" w:cs="SPD TheSans"/>
          <w:lang w:bidi="de-DE"/>
        </w:rPr>
        <w:t xml:space="preserve"> nicht zur Debatte</w:t>
      </w:r>
      <w:r>
        <w:rPr>
          <w:rFonts w:eastAsia="SPD TheSans" w:cs="SPD TheSans"/>
          <w:lang w:bidi="de-DE"/>
        </w:rPr>
        <w:t xml:space="preserve">;</w:t>
      </w:r>
      <w:r>
        <w:rPr>
          <w:rFonts w:eastAsia="SPD TheSans" w:cs="SPD TheSans"/>
          <w:lang w:bidi="de-DE"/>
        </w:rPr>
        <w:t xml:space="preserve"> da muss ich wi</w:t>
      </w:r>
      <w:r>
        <w:rPr>
          <w:rFonts w:eastAsia="SPD TheSans" w:cs="SPD TheSans"/>
          <w:lang w:bidi="de-DE"/>
        </w:rPr>
        <w:t xml:space="preserve">der</w:t>
      </w:r>
      <w:r>
        <w:rPr>
          <w:rFonts w:eastAsia="SPD TheSans" w:cs="SPD TheSans"/>
          <w:lang w:bidi="de-DE"/>
        </w:rPr>
        <w:t xml:space="preserve">sprechen.</w:t>
      </w:r>
      <w:r>
        <w:rPr>
          <w:rFonts w:cs="SPD TheSans"/>
        </w:rPr>
      </w:r>
      <w:r>
        <w:rPr>
          <w:rFonts w:cs="SPD TheSans"/>
        </w:rPr>
      </w:r>
    </w:p>
    <w:p w14:paraId="6940C24C" w14:textId="5C361D9A">
      <w:pPr>
        <w:pBdr/>
        <w:spacing/>
        <w:ind/>
        <w:rPr>
          <w:rFonts w:cs="SPD TheSans"/>
        </w:rPr>
      </w:pPr>
      <w:r>
        <w:rPr>
          <w:rFonts w:eastAsia="SPD TheSans" w:cs="SPD TheSans"/>
          <w:lang w:bidi="de-DE"/>
        </w:rPr>
        <w:t xml:space="preserve">Als Fachkraft für Schulgesundheitspflege </w:t>
      </w:r>
      <w:r>
        <w:rPr>
          <w:rFonts w:eastAsia="SPD TheSans" w:cs="SPD TheSans"/>
          <w:lang w:bidi="de-DE"/>
        </w:rPr>
        <w:t xml:space="preserve">setze</w:t>
      </w:r>
      <w:r>
        <w:rPr>
          <w:rFonts w:eastAsia="SPD TheSans" w:cs="SPD TheSans"/>
          <w:lang w:bidi="de-DE"/>
        </w:rPr>
        <w:t xml:space="preserve"> ich mich seit 2017 gerade in Nie</w:t>
      </w:r>
      <w:r>
        <w:rPr>
          <w:rFonts w:eastAsia="SPD TheSans" w:cs="SPD TheSans"/>
          <w:lang w:bidi="de-DE"/>
        </w:rPr>
        <w:t xml:space="preserve">dersachsen für deren Umsetzung ein. Schulgesundheitspflege ist der Kernpunkt einer inklusiven Schule und arbeitet eng in multiprofessionellen Teams mit Schulsozialarbeit, Schulpsychologie, Kinder- und Jugendgesundheitsdienst und weiteren Akteure zusammen. </w:t>
      </w:r>
      <w:r>
        <w:rPr>
          <w:rFonts w:eastAsia="SPD TheSans" w:cs="SPD TheSans"/>
          <w:lang w:bidi="de-DE"/>
        </w:rPr>
        <w:t xml:space="preserve">Den</w:t>
      </w:r>
      <w:r>
        <w:rPr>
          <w:rFonts w:eastAsia="SPD TheSans" w:cs="SPD TheSans"/>
          <w:lang w:bidi="de-DE"/>
        </w:rPr>
        <w:t xml:space="preserve"> </w:t>
      </w:r>
      <w:r>
        <w:rPr>
          <w:rFonts w:eastAsia="SPD TheSans" w:cs="SPD TheSans"/>
          <w:lang w:bidi="de-DE"/>
        </w:rPr>
        <w:t xml:space="preserve">inneren</w:t>
      </w:r>
      <w:r>
        <w:rPr>
          <w:rFonts w:eastAsia="SPD TheSans" w:cs="SPD TheSans"/>
          <w:lang w:bidi="de-DE"/>
        </w:rPr>
        <w:t xml:space="preserve"> Kernpunkt bilde</w:t>
      </w:r>
      <w:r>
        <w:rPr>
          <w:rFonts w:eastAsia="SPD TheSans" w:cs="SPD TheSans"/>
          <w:lang w:bidi="de-DE"/>
        </w:rPr>
        <w:t xml:space="preserve">n Elternschaft, Lehrerschaft und Ärzteschaft. Schule wandelt sich von einem Ort des einen Lernens zu einem Lebensraum. In diesem sind neben Fragen des Lernens oder des sozialen Zusammenlebens selbstverständlich Themen wie Gesundheit und Krankheit relevant.</w:t>
      </w:r>
      <w:r>
        <w:rPr>
          <w:rFonts w:cs="SPD TheSans"/>
        </w:rPr>
      </w:r>
      <w:r>
        <w:rPr>
          <w:rFonts w:cs="SPD TheSans"/>
        </w:rPr>
      </w:r>
    </w:p>
    <w:p w14:paraId="5C5BE57E">
      <w:pPr>
        <w:pBdr/>
        <w:spacing/>
        <w:ind/>
        <w:rPr>
          <w:rFonts w:cs="SPD TheSans"/>
        </w:rPr>
      </w:pPr>
      <w:r>
        <w:rPr>
          <w:rFonts w:cs="SPD TheSans"/>
        </w:rPr>
      </w:r>
      <w:r>
        <w:rPr>
          <w:rFonts w:cs="SPD TheSans"/>
        </w:rPr>
      </w:r>
      <w:r>
        <w:rPr>
          <w:rFonts w:cs="SPD TheSans"/>
        </w:rPr>
      </w:r>
    </w:p>
    <w:p w14:paraId="757125F5" w14:textId="77777777">
      <w:pPr>
        <w:pBdr/>
        <w:spacing/>
        <w:ind/>
        <w:rPr>
          <w:rFonts w:cs="SPD TheSans"/>
        </w:rPr>
      </w:pPr>
      <w:r>
        <w:rPr>
          <w:rFonts w:cs="SPD TheSans"/>
        </w:rPr>
      </w:r>
      <w:r>
        <w:rPr>
          <w:rFonts w:cs="SPD TheSans"/>
        </w:rPr>
      </w:r>
    </w:p>
    <w:p w14:paraId="1F770EB7" w14:textId="77777777">
      <w:pPr>
        <w:pStyle w:val="939"/>
        <w:pBdr/>
        <w:spacing/>
        <w:ind/>
        <w:rPr>
          <w14:ligatures w14:val="none"/>
        </w:rPr>
      </w:pPr>
      <w:r/>
      <w:bookmarkStart w:id="92" w:name="_Toc10"/>
      <w:r>
        <w:rPr>
          <w:lang w:bidi="de-DE"/>
        </w:rPr>
        <w:t xml:space="preserve">Jahresbericht 2025 der Bundesarbeitsgemeinschaft Inklusionsfirmen (</w:t>
      </w:r>
      <w:r>
        <w:rPr>
          <w:lang w:bidi="de-DE"/>
        </w:rPr>
        <w:t xml:space="preserve">bag</w:t>
      </w:r>
      <w:r>
        <w:rPr>
          <w:lang w:bidi="de-DE"/>
        </w:rPr>
        <w:t xml:space="preserve"> </w:t>
      </w:r>
      <w:r>
        <w:rPr>
          <w:lang w:bidi="de-DE"/>
        </w:rPr>
        <w:t xml:space="preserve">if</w:t>
      </w:r>
      <w:r>
        <w:rPr>
          <w:lang w:bidi="de-DE"/>
        </w:rPr>
        <w:t xml:space="preserve">)</w:t>
      </w:r>
      <w:r/>
      <w:bookmarkEnd w:id="92"/>
      <w:r/>
      <w:r>
        <w:rPr>
          <w14:ligatures w14:val="none"/>
        </w:rPr>
      </w:r>
    </w:p>
    <w:p w14:paraId="40AFEE99" w14:textId="77777777">
      <w:pPr>
        <w:pBdr/>
        <w:spacing/>
        <w:ind/>
        <w:rPr>
          <w:rFonts w:cs="SPD TheSans"/>
          <w14:ligatures w14:val="none"/>
        </w:rPr>
      </w:pPr>
      <w:r>
        <w:rPr>
          <w:rFonts w:eastAsia="SPD TheSans" w:cs="SPD TheSans"/>
          <w:i/>
          <w:iCs/>
          <w:sz w:val="24"/>
          <w:szCs w:val="24"/>
          <w:lang w:bidi="de-DE"/>
        </w:rPr>
        <w:t xml:space="preserve">Recherche: Henry </w:t>
      </w:r>
      <w:r>
        <w:rPr>
          <w:rFonts w:eastAsia="SPD TheSans" w:cs="SPD TheSans"/>
          <w:i/>
          <w:iCs/>
          <w:sz w:val="24"/>
          <w:szCs w:val="24"/>
          <w:lang w:bidi="de-DE"/>
        </w:rPr>
        <w:t xml:space="preserve">Spradau</w:t>
      </w:r>
      <w:r>
        <w:rPr>
          <w:rFonts w:cs="SPD TheSans"/>
          <w14:ligatures w14:val="none"/>
        </w:rPr>
      </w:r>
      <w:r>
        <w:rPr>
          <w:rFonts w:cs="SPD TheSans"/>
          <w14:ligatures w14:val="none"/>
        </w:rPr>
      </w:r>
    </w:p>
    <w:p w14:paraId="16C793BB" w14:textId="77777777">
      <w:pPr>
        <w:pBdr/>
        <w:spacing/>
        <w:ind/>
        <w:rPr>
          <w:rFonts w:cs="SPD TheSans"/>
          <w14:ligatures w14:val="none"/>
        </w:rPr>
      </w:pPr>
      <w:r>
        <w:rPr>
          <w:rFonts w:eastAsia="SPD TheSans" w:cs="SPD TheSans"/>
          <w:lang w:bidi="de-DE"/>
        </w:rPr>
        <w:t xml:space="preserve">Die BAG IF ist die Interess</w:t>
      </w:r>
      <w:r>
        <w:rPr>
          <w:rFonts w:eastAsia="SPD TheSans" w:cs="SPD TheSans"/>
          <w:lang w:bidi="de-DE"/>
        </w:rPr>
        <w:t xml:space="preserve">envertretung der Inklusionsunternehmen in Deutschland. Gemeinsam mit den Landesarbeitsgemeinschaften bildet sie ein bundesweites Netzwerk von inklusiven Unternehmen und setzt sich für die Belange von Menschen mit schweren Behinderungen im Arbeitsleben ein.</w:t>
      </w:r>
      <w:r>
        <w:rPr>
          <w:rFonts w:cs="SPD TheSans"/>
          <w14:ligatures w14:val="none"/>
        </w:rPr>
      </w:r>
      <w:r>
        <w:rPr>
          <w:rFonts w:cs="SPD TheSans"/>
          <w14:ligatures w14:val="none"/>
        </w:rPr>
      </w:r>
    </w:p>
    <w:p w14:paraId="1CEEF72A" w14:textId="6296EF80">
      <w:pPr>
        <w:pBdr/>
        <w:spacing/>
        <w:ind/>
        <w:rPr>
          <w:rFonts w:cs="SPD TheSans"/>
          <w14:ligatures w14:val="none"/>
        </w:rPr>
      </w:pPr>
      <w:r>
        <w:rPr>
          <w:rFonts w:eastAsia="SPD TheSans" w:cs="SPD TheSans"/>
          <w:lang w:bidi="de-DE"/>
        </w:rPr>
        <w:t xml:space="preserve">Sie vertritt die Interessen von über 1.000 Inklusionsunternehmen und rund 30.000 Beschäftig</w:t>
      </w:r>
      <w:r>
        <w:rPr>
          <w:rFonts w:eastAsia="SPD TheSans" w:cs="SPD TheSans"/>
          <w:lang w:bidi="de-DE"/>
        </w:rPr>
        <w:t xml:space="preserve">ten. Sie leistet Lobbyarbeit im politischen Raum und berät Unternehmen, Behörden und Leistungsträger in allen relevanten Fragen der Beschäftigung von Menschen mit Behinderungen. Auf diese Weise wird die inklusive Teilhabe in Deutschland nachhaltig geprägt.</w:t>
      </w:r>
      <w:r>
        <w:rPr>
          <w:rFonts w:eastAsia="SPD TheSans" w:cs="SPD TheSans"/>
          <w:lang w:bidi="de-DE"/>
        </w:rPr>
        <w:t xml:space="preserve"> </w:t>
      </w:r>
      <w:r>
        <w:rPr>
          <w:rFonts w:eastAsia="SPD TheSans" w:cs="SPD TheSans"/>
          <w:lang w:bidi="de-DE"/>
        </w:rPr>
        <w:t xml:space="preserve">Die BAG IF unterstützt, stärkt und fördert ein soziales Unternehmertum, in dem wirtschaftliches Handeln durch soziales Verantwortungsbewusstsein geleitet wird. Näheres siehe unter </w:t>
      </w:r>
      <w:hyperlink r:id="rId15" w:tooltip="https://www.bag-if.de" w:history="1">
        <w:r>
          <w:rPr>
            <w:rStyle w:val="930"/>
            <w:rFonts w:eastAsia="SPD TheSans" w:cs="SPD TheSans"/>
            <w:lang w:bidi="de-DE"/>
          </w:rPr>
          <w:t xml:space="preserve">www.bag-if.de</w:t>
        </w:r>
      </w:hyperlink>
      <w:r>
        <w:rPr>
          <w:rFonts w:cs="SPD TheSans"/>
          <w14:ligatures w14:val="none"/>
        </w:rPr>
      </w:r>
      <w:r>
        <w:rPr>
          <w:rFonts w:cs="SPD TheSans"/>
          <w14:ligatures w14:val="none"/>
        </w:rPr>
      </w:r>
    </w:p>
    <w:p w14:paraId="104E1A34" w14:textId="77777777">
      <w:pPr>
        <w:pBdr/>
        <w:spacing/>
        <w:ind/>
        <w:rPr>
          <w:rFonts w:cs="SPD TheSans"/>
          <w14:ligatures w14:val="none"/>
        </w:rPr>
      </w:pPr>
      <w:r>
        <w:rPr>
          <w:rFonts w:eastAsia="SPD TheSans" w:cs="SPD TheSans"/>
          <w:lang w:bidi="de-DE"/>
        </w:rPr>
        <w:t xml:space="preserve">Ink</w:t>
      </w:r>
      <w:r>
        <w:rPr>
          <w:rFonts w:eastAsia="SPD TheSans" w:cs="SPD TheSans"/>
          <w:lang w:bidi="de-DE"/>
        </w:rPr>
        <w:t xml:space="preserve">lusionsbetriebe/-firmen haben den besonderen sozialen Auftrag, Arbeitsplätze für schwerbehinderte Menschen zu schaffen und inklusive und gleichberechtigte Teilhabe am allgemeinen Arbeitsmarkt zu ermöglichen. Der Anteil schwerbehinderter Mitarbeiterinnen un</w:t>
      </w:r>
      <w:r>
        <w:rPr>
          <w:rFonts w:eastAsia="SPD TheSans" w:cs="SPD TheSans"/>
          <w:lang w:bidi="de-DE"/>
        </w:rPr>
        <w:t xml:space="preserve">d Mitarbeiter liegt in Inklusionsbetrieben zwischen 30 und 50 Prozent und ist damit sehr viel höher als in anderen Unternehmen. Sie bieten Arbeitsplätze mit tariflicher ortsüblicher Bezahlung an und ermöglichen den Einstieg in den allgemeinen Arbeitsmarkt.</w:t>
      </w:r>
      <w:r>
        <w:rPr>
          <w:rFonts w:cs="SPD TheSans"/>
          <w14:ligatures w14:val="none"/>
        </w:rPr>
      </w:r>
      <w:r>
        <w:rPr>
          <w:rFonts w:cs="SPD TheSans"/>
          <w14:ligatures w14:val="none"/>
        </w:rPr>
      </w:r>
    </w:p>
    <w:p w14:paraId="46F7901F" w14:textId="77777777">
      <w:pPr>
        <w:pBdr/>
        <w:spacing/>
        <w:ind/>
        <w:rPr>
          <w:rFonts w:cs="SPD TheSans"/>
          <w14:ligatures w14:val="none"/>
        </w:rPr>
      </w:pPr>
      <w:r>
        <w:rPr>
          <w:rFonts w:eastAsia="SPD TheSans" w:cs="SPD TheSans"/>
          <w:lang w:bidi="de-DE"/>
        </w:rPr>
        <w:t xml:space="preserve">Zu den Zielgruppen gehören Menschen mit Schwerbe</w:t>
      </w:r>
      <w:r>
        <w:rPr>
          <w:rFonts w:eastAsia="SPD TheSans" w:cs="SPD TheSans"/>
          <w:lang w:bidi="de-DE"/>
        </w:rPr>
        <w:t xml:space="preserve">hinderung, deren Eingliederung in den sonstigen allgemeinen Arbeitsmarkt auf Schwierigkeiten stößt. Gründe dafür können die Art und Schwere der Behinderung sein sowie zusätzliche Umstände, wie z.B. Alter, Langzeitarbeitslosigkeit, mangelnde Qualifizierung.</w:t>
      </w:r>
      <w:r>
        <w:rPr>
          <w:rFonts w:eastAsia="SPD TheSans" w:cs="SPD TheSans"/>
          <w:lang w:bidi="de-DE"/>
        </w:rPr>
        <w:br/>
        <w:t xml:space="preserve">Inklusionsbetriebe haben Anspruch auf finanzielle Hilfen wie Investitions- und Personalkostenzuschüsse. Beratung zur Förderung und Gründung von Inklusionsbetrieben leisten die auch Integrationsämter (</w:t>
      </w:r>
      <w:hyperlink r:id="rId16" w:tooltip="http://www.integrationsaemter.de" w:history="1">
        <w:r>
          <w:rPr>
            <w:rStyle w:val="930"/>
            <w:rFonts w:eastAsia="SPD TheSans" w:cs="SPD TheSans"/>
            <w:lang w:bidi="de-DE"/>
          </w:rPr>
          <w:t xml:space="preserve">www.integrationsaemter.de</w:t>
        </w:r>
      </w:hyperlink>
      <w:r>
        <w:rPr>
          <w:rFonts w:eastAsia="SPD TheSans" w:cs="SPD TheSans"/>
          <w:lang w:bidi="de-DE"/>
        </w:rPr>
        <w:t xml:space="preserve">) und die Fachberatung für Arbeits- und Firmenprojekte, FAF gGmbH (</w:t>
      </w:r>
      <w:hyperlink r:id="rId17" w:tooltip="http://www.faf-gmbh.de" w:history="1">
        <w:r>
          <w:rPr>
            <w:rStyle w:val="930"/>
            <w:rFonts w:eastAsia="SPD TheSans" w:cs="SPD TheSans"/>
            <w:lang w:bidi="de-DE"/>
          </w:rPr>
          <w:t xml:space="preserve">www.faf-gmbh.de</w:t>
        </w:r>
      </w:hyperlink>
      <w:r>
        <w:rPr>
          <w:rFonts w:eastAsia="SPD TheSans" w:cs="SPD TheSans"/>
          <w:lang w:bidi="de-DE"/>
        </w:rPr>
        <w:t xml:space="preserve">).</w:t>
      </w:r>
      <w:r>
        <w:rPr>
          <w:rFonts w:cs="SPD TheSans"/>
          <w14:ligatures w14:val="none"/>
        </w:rPr>
      </w:r>
      <w:r>
        <w:rPr>
          <w:rFonts w:cs="SPD TheSans"/>
          <w14:ligatures w14:val="none"/>
        </w:rPr>
      </w:r>
    </w:p>
    <w:p w14:paraId="6E18AB87" w14:textId="77777777">
      <w:pPr>
        <w:pBdr/>
        <w:spacing/>
        <w:ind/>
        <w:rPr>
          <w:rFonts w:cs="SPD TheSans"/>
          <w14:ligatures w14:val="none"/>
        </w:rPr>
      </w:pPr>
      <w:r>
        <w:rPr>
          <w:rFonts w:eastAsia="SPD TheSans" w:cs="SPD TheSans"/>
          <w:lang w:bidi="de-DE"/>
        </w:rPr>
        <w:t xml:space="preserve">Rechtlich geregelt sind die Inklusionsbetriebe und ihre Fördermöglichkeiten im Sozialgesetzbuch Neuntes Buch (SGB IX).</w:t>
      </w:r>
      <w:r>
        <w:rPr>
          <w:rFonts w:cs="SPD TheSans"/>
          <w14:ligatures w14:val="none"/>
        </w:rPr>
      </w:r>
      <w:r>
        <w:rPr>
          <w:rFonts w:cs="SPD TheSans"/>
          <w14:ligatures w14:val="none"/>
        </w:rPr>
      </w:r>
    </w:p>
    <w:p w14:paraId="344E826D" w14:textId="1383A243">
      <w:pPr>
        <w:pBdr/>
        <w:spacing/>
        <w:ind/>
        <w:rPr>
          <w:rFonts w:cs="SPD TheSans"/>
          <w14:ligatures w14:val="none"/>
        </w:rPr>
      </w:pPr>
      <w:r>
        <w:rPr>
          <w:rFonts w:eastAsia="SPD TheSans" w:cs="SPD TheSans"/>
          <w:lang w:bidi="de-DE"/>
        </w:rPr>
        <w:t xml:space="preserve">Die BAG IF hat kürzlich ihren Jahres</w:t>
      </w:r>
      <w:r>
        <w:rPr>
          <w:rFonts w:eastAsia="SPD TheSans" w:cs="SPD TheSans"/>
          <w:lang w:bidi="de-DE"/>
        </w:rPr>
        <w:t xml:space="preserve">-</w:t>
      </w:r>
      <w:r>
        <w:rPr>
          <w:rFonts w:eastAsia="SPD TheSans" w:cs="SPD TheSans"/>
          <w:lang w:bidi="de-DE"/>
        </w:rPr>
        <w:t xml:space="preserve">Bericht 2025 herausgegeben, der unter folgenden Link aufrufbar ist: </w:t>
      </w:r>
      <w:hyperlink r:id="rId18" w:tooltip="https://www.yumpu.com/de/document/read/71099529/bag-if-jahresbericht-2025/68" w:history="1">
        <w:r>
          <w:rPr>
            <w:rStyle w:val="930"/>
            <w:rFonts w:eastAsia="SPD TheSans" w:cs="SPD TheSans"/>
            <w:lang w:bidi="de-DE"/>
          </w:rPr>
          <w:t xml:space="preserve">https://www.yumpu.com/de/document/read/71099529/bag-if-jahresbericht-2025/68</w:t>
        </w:r>
      </w:hyperlink>
      <w:r>
        <w:rPr>
          <w:rFonts w:cs="SPD TheSans"/>
          <w14:ligatures w14:val="none"/>
        </w:rPr>
      </w:r>
      <w:r>
        <w:rPr>
          <w:rFonts w:cs="SPD TheSans"/>
          <w14:ligatures w14:val="none"/>
        </w:rPr>
      </w:r>
    </w:p>
    <w:p w14:paraId="43BD0312" w14:textId="77777777">
      <w:pPr>
        <w:pStyle w:val="939"/>
        <w:pBdr/>
        <w:spacing/>
        <w:ind/>
        <w:rPr>
          <w:rFonts w:cs="SPD TheSans"/>
          <w14:ligatures w14:val="none"/>
        </w:rPr>
      </w:pPr>
      <w:r/>
      <w:bookmarkStart w:id="93" w:name="_Toc11"/>
      <w:r>
        <w:rPr>
          <w:rFonts w:eastAsia="SPD TheSans" w:cs="SPD TheSans"/>
        </w:rPr>
        <w:t xml:space="preserve">ADAC Test: Wie barrierefrei ist der Nahverkehr?</w:t>
      </w:r>
      <w:r/>
      <w:bookmarkEnd w:id="93"/>
      <w:r/>
      <w:r>
        <w:rPr>
          <w:rFonts w:cs="SPD TheSans"/>
          <w14:ligatures w14:val="none"/>
        </w:rPr>
      </w:r>
    </w:p>
    <w:p w14:paraId="2AC1B583" w14:textId="77777777">
      <w:pPr>
        <w:pBdr/>
        <w:spacing/>
        <w:ind/>
        <w:rPr>
          <w:rFonts w:cs="SPD TheSans"/>
        </w:rPr>
      </w:pPr>
      <w:r>
        <w:rPr>
          <w:rFonts w:eastAsia="SPD TheSans" w:cs="SPD TheSans"/>
          <w:i/>
          <w:iCs/>
          <w:sz w:val="24"/>
          <w:szCs w:val="24"/>
          <w:lang w:bidi="de-DE"/>
        </w:rPr>
        <w:t xml:space="preserve">Ein Bericht des ADAC von </w:t>
      </w:r>
      <w:r>
        <w:rPr>
          <w:rFonts w:eastAsia="SPD TheSans" w:cs="SPD TheSans"/>
          <w:i/>
          <w:iCs/>
          <w:sz w:val="24"/>
          <w:szCs w:val="24"/>
          <w:lang w:bidi="de-DE"/>
        </w:rPr>
        <w:t xml:space="preserve">Von</w:t>
      </w:r>
      <w:r>
        <w:rPr>
          <w:rFonts w:eastAsia="SPD TheSans" w:cs="SPD TheSans"/>
          <w:i/>
          <w:iCs/>
          <w:sz w:val="24"/>
          <w:szCs w:val="24"/>
          <w:lang w:bidi="de-DE"/>
        </w:rPr>
        <w:t xml:space="preserve"> Tanja Echter, 21.07.2026</w:t>
      </w:r>
      <w:r>
        <w:rPr>
          <w:rFonts w:eastAsia="SPD TheSans" w:cs="SPD TheSans"/>
          <w:lang w:bidi="de-DE"/>
        </w:rPr>
        <w:br/>
        <w:t xml:space="preserve">Ein barrierefreier Nahverkehr erleichtert Millionen Menschen den Alltag: von Rollstuhlfahrenden über Eltern mit Kinderwagen bis hin zu älteren Fahrgästen. Ein ADAC Test zeigt, wo noch Verbesserungsbedarf besteht.</w:t>
      </w:r>
      <w:r>
        <w:rPr>
          <w:rFonts w:cs="SPD TheSans"/>
        </w:rPr>
      </w:r>
      <w:r>
        <w:rPr>
          <w:rFonts w:cs="SPD TheSans"/>
        </w:rPr>
      </w:r>
    </w:p>
    <w:p w14:paraId="6DF944AD" w14:textId="77777777">
      <w:pPr>
        <w:pStyle w:val="934"/>
        <w:numPr>
          <w:ilvl w:val="0"/>
          <w:numId w:val="7"/>
        </w:numPr>
        <w:pBdr/>
        <w:spacing/>
        <w:ind/>
        <w:rPr>
          <w:rFonts w:cs="SPD TheSans"/>
        </w:rPr>
      </w:pPr>
      <w:r>
        <w:rPr>
          <w:rFonts w:eastAsia="SPD TheSans" w:cs="SPD TheSans"/>
          <w:lang w:bidi="de-DE"/>
        </w:rPr>
        <w:t xml:space="preserve">Einstieg bleibt größte Barriere</w:t>
      </w:r>
      <w:r>
        <w:rPr>
          <w:rFonts w:cs="SPD TheSans"/>
        </w:rPr>
      </w:r>
      <w:r>
        <w:rPr>
          <w:rFonts w:cs="SPD TheSans"/>
        </w:rPr>
      </w:r>
    </w:p>
    <w:p w14:paraId="10AA563E" w14:textId="77777777">
      <w:pPr>
        <w:pStyle w:val="934"/>
        <w:numPr>
          <w:ilvl w:val="0"/>
          <w:numId w:val="7"/>
        </w:numPr>
        <w:pBdr/>
        <w:spacing/>
        <w:ind/>
        <w:rPr>
          <w:rFonts w:cs="SPD TheSans"/>
        </w:rPr>
      </w:pPr>
      <w:r>
        <w:rPr>
          <w:rFonts w:eastAsia="SPD TheSans" w:cs="SPD TheSans"/>
          <w:lang w:bidi="de-DE"/>
        </w:rPr>
        <w:t xml:space="preserve">Haltestellen für Blinde oft schwer auffindbar</w:t>
      </w:r>
      <w:r>
        <w:rPr>
          <w:rFonts w:cs="SPD TheSans"/>
        </w:rPr>
      </w:r>
      <w:r>
        <w:rPr>
          <w:rFonts w:cs="SPD TheSans"/>
        </w:rPr>
      </w:r>
    </w:p>
    <w:p w14:paraId="141D8710" w14:textId="77777777">
      <w:pPr>
        <w:pStyle w:val="934"/>
        <w:numPr>
          <w:ilvl w:val="0"/>
          <w:numId w:val="7"/>
        </w:numPr>
        <w:pBdr/>
        <w:spacing/>
        <w:ind/>
        <w:rPr>
          <w:rFonts w:cs="SPD TheSans"/>
        </w:rPr>
      </w:pPr>
      <w:r>
        <w:rPr>
          <w:rFonts w:eastAsia="SPD TheSans" w:cs="SPD TheSans"/>
          <w:lang w:bidi="de-DE"/>
        </w:rPr>
        <w:t xml:space="preserve">Was den ÖPNV für alle besser macht</w:t>
      </w:r>
      <w:r>
        <w:rPr>
          <w:rFonts w:cs="SPD TheSans"/>
        </w:rPr>
      </w:r>
      <w:r>
        <w:rPr>
          <w:rFonts w:cs="SPD TheSans"/>
        </w:rPr>
      </w:r>
    </w:p>
    <w:p w14:paraId="14392E83" w14:textId="77777777">
      <w:pPr>
        <w:pBdr/>
        <w:spacing/>
        <w:ind/>
        <w:rPr>
          <w:rFonts w:cs="SPD TheSans"/>
        </w:rPr>
      </w:pPr>
      <w:r>
        <w:rPr>
          <w:rFonts w:eastAsia="SPD TheSans" w:cs="SPD TheSans"/>
          <w:lang w:bidi="de-DE"/>
        </w:rPr>
        <w:t xml:space="preserve">Der Bericht unter: </w:t>
      </w:r>
      <w:hyperlink r:id="rId19" w:tooltip="https://www.adac.de/reise-freizeit/ratgeber/tests/test-barrierefreier-oepnv/" w:history="1">
        <w:r>
          <w:rPr>
            <w:rStyle w:val="930"/>
            <w:rFonts w:eastAsia="SPD TheSans" w:cs="SPD TheSans"/>
            <w:lang w:bidi="de-DE"/>
          </w:rPr>
          <w:t xml:space="preserve">https://www.adac.de/reise-freizeit/ratgeber/tests/test-barrierefreier-oepnv/</w:t>
        </w:r>
      </w:hyperlink>
      <w:r>
        <w:rPr>
          <w:rFonts w:cs="SPD TheSans"/>
        </w:rPr>
      </w:r>
      <w:r>
        <w:rPr>
          <w:rFonts w:cs="SPD TheSans"/>
        </w:rPr>
      </w:r>
    </w:p>
    <w:p w14:paraId="05BE1FE1" w14:textId="77777777">
      <w:pPr>
        <w:pBdr/>
        <w:spacing/>
        <w:ind/>
        <w:rPr>
          <w:rFonts w:cs="SPD TheSans"/>
        </w:rPr>
      </w:pPr>
      <w:r>
        <w:rPr>
          <w:rFonts w:cs="SPD TheSans"/>
        </w:rPr>
      </w:r>
      <w:r>
        <w:rPr>
          <w:rFonts w:cs="SPD TheSans"/>
        </w:rPr>
      </w:r>
      <w:r>
        <w:rPr>
          <w:rFonts w:cs="SPD TheSans"/>
        </w:rPr>
      </w:r>
    </w:p>
    <w:p w14:paraId="527CB3D7" w14:textId="77777777">
      <w:pPr>
        <w:pBdr/>
        <w:spacing/>
        <w:ind/>
        <w:rPr>
          <w:rFonts w:cs="SPD TheSans"/>
        </w:rPr>
      </w:pPr>
      <w:r>
        <w:rPr>
          <w:rFonts w:cs="SPD TheSans"/>
        </w:rPr>
      </w:r>
      <w:r>
        <w:rPr>
          <w:rFonts w:cs="SPD TheSans"/>
        </w:rPr>
      </w:r>
      <w:r>
        <w:rPr>
          <w:rFonts w:cs="SPD TheSans"/>
        </w:rPr>
      </w:r>
    </w:p>
    <w:p w14:paraId="1494371E" w14:textId="77777777">
      <w:pPr>
        <w:pStyle w:val="939"/>
        <w:pBdr/>
        <w:spacing/>
        <w:ind/>
        <w:rPr>
          <w:rFonts w:cs="SPD TheSans"/>
          <w14:ligatures w14:val="none"/>
        </w:rPr>
      </w:pPr>
      <w:r/>
      <w:bookmarkStart w:id="94" w:name="_Toc12"/>
      <w:r>
        <w:rPr>
          <w:rFonts w:eastAsia="SPD TheSans" w:cs="SPD TheSans"/>
          <w:lang w:bidi="de-DE"/>
        </w:rPr>
        <w:t xml:space="preserve">Landesarbeitsgericht (LAG) Köln zur Kündigung wegen nicht angegebener Schwerbehinderteneigenschaft</w:t>
      </w:r>
      <w:r/>
      <w:bookmarkEnd w:id="94"/>
      <w:r/>
      <w:r>
        <w:rPr>
          <w:rFonts w:cs="SPD TheSans"/>
          <w14:ligatures w14:val="none"/>
        </w:rPr>
      </w:r>
    </w:p>
    <w:p w14:paraId="466DC6CA" w14:textId="77777777">
      <w:pPr>
        <w:pBdr/>
        <w:spacing/>
        <w:ind/>
        <w:rPr>
          <w:rFonts w:cs="SPD TheSans"/>
        </w:rPr>
      </w:pPr>
      <w:r>
        <w:rPr>
          <w:rFonts w:eastAsia="SPD TheSans" w:cs="SPD TheSans"/>
          <w:i/>
          <w:iCs/>
          <w:sz w:val="24"/>
          <w:szCs w:val="24"/>
          <w:lang w:bidi="de-DE"/>
        </w:rPr>
        <w:t xml:space="preserve">Recherche: Henry </w:t>
      </w:r>
      <w:r>
        <w:rPr>
          <w:rFonts w:eastAsia="SPD TheSans" w:cs="SPD TheSans"/>
          <w:i/>
          <w:iCs/>
          <w:sz w:val="24"/>
          <w:szCs w:val="24"/>
          <w:lang w:bidi="de-DE"/>
        </w:rPr>
        <w:t xml:space="preserve">Spradau</w:t>
      </w:r>
      <w:r>
        <w:rPr>
          <w:rFonts w:cs="SPD TheSans"/>
        </w:rPr>
      </w:r>
      <w:r>
        <w:rPr>
          <w:rFonts w:cs="SPD TheSans"/>
        </w:rPr>
      </w:r>
    </w:p>
    <w:p w14:paraId="6EC11C57" w14:textId="77777777">
      <w:pPr>
        <w:pBdr/>
        <w:spacing/>
        <w:ind/>
        <w:rPr>
          <w:rFonts w:cs="SPD TheSans"/>
        </w:rPr>
      </w:pPr>
      <w:r>
        <w:rPr>
          <w:rFonts w:eastAsia="SPD TheSans" w:cs="SPD TheSans"/>
          <w:lang w:bidi="de-DE"/>
        </w:rPr>
        <w:t xml:space="preserve">Das LAG hat in einem Urteil von April 2026 festgestellt, dass der Arbeitgeber einen Arbeitsvertrag nicht deshalb anfechten kann, weil der Arbeitnehmer im Bewerbungsgespräch seine Schwerbehinderteneigenschaft nicht offenbart hat. </w:t>
      </w:r>
      <w:r>
        <w:rPr>
          <w:rFonts w:cs="SPD TheSans"/>
        </w:rPr>
      </w:r>
      <w:r>
        <w:rPr>
          <w:rFonts w:cs="SPD TheSans"/>
        </w:rPr>
      </w:r>
    </w:p>
    <w:p w14:paraId="227106B0" w14:textId="77777777">
      <w:pPr>
        <w:pBdr/>
        <w:spacing/>
        <w:ind/>
        <w:rPr>
          <w:rFonts w:cs="SPD TheSans"/>
        </w:rPr>
      </w:pPr>
      <w:r>
        <w:rPr>
          <w:rFonts w:eastAsia="SPD TheSans" w:cs="SPD TheSans"/>
          <w:lang w:bidi="de-DE"/>
        </w:rPr>
        <w:t xml:space="preserve">Der Entscheidung lag folgender Sachverhalt zugrunde:</w:t>
      </w:r>
      <w:r>
        <w:rPr>
          <w:rFonts w:cs="SPD TheSans"/>
        </w:rPr>
      </w:r>
      <w:r>
        <w:rPr>
          <w:rFonts w:cs="SPD TheSans"/>
        </w:rPr>
      </w:r>
    </w:p>
    <w:p w14:paraId="00097499" w14:textId="77777777">
      <w:pPr>
        <w:pBdr/>
        <w:spacing/>
        <w:ind/>
        <w:rPr>
          <w:rFonts w:cs="SPD TheSans"/>
        </w:rPr>
      </w:pPr>
      <w:r>
        <w:rPr>
          <w:rFonts w:eastAsia="SPD TheSans" w:cs="SPD TheSans"/>
          <w:lang w:bidi="de-DE"/>
        </w:rPr>
        <w:t xml:space="preserve">Eine schwerbehinderte Arbeitnehmerin (Grad der Behinderung 60) war seit 2</w:t>
      </w:r>
      <w:r>
        <w:rPr>
          <w:rFonts w:eastAsia="SPD TheSans" w:cs="SPD TheSans"/>
          <w:lang w:bidi="de-DE"/>
        </w:rPr>
        <w:t xml:space="preserve">021 bei dem Arbeitgeber beschäftigt. Das Arbeitsverhältnis endete letztlich durch ihre eigene Kündigung Ende Februar 2024. Vorher hatte der Arbeitgeber schon mehrere Kündigungen ohne Zustimmung des Integrationsamtes ausgesprochen. Außerdem hatte er den Arb</w:t>
      </w:r>
      <w:r>
        <w:rPr>
          <w:rFonts w:eastAsia="SPD TheSans" w:cs="SPD TheSans"/>
          <w:lang w:bidi="de-DE"/>
        </w:rPr>
        <w:t xml:space="preserve">eitsvertrag angefochten, weil die Arbeitnehmerin ihre Schwerbehinderung beim Einstellungsgespräch (ohne Nachfrage des Arbeitgebers) nicht angegeben hatte. Nach Zugang der Kündigung informierte die Arbeitnehmerin den Arbeitgeber über ihre Schwerbehinderung.</w:t>
      </w:r>
      <w:r>
        <w:rPr>
          <w:rFonts w:cs="SPD TheSans"/>
        </w:rPr>
      </w:r>
      <w:r>
        <w:rPr>
          <w:rFonts w:cs="SPD TheSans"/>
        </w:rPr>
      </w:r>
    </w:p>
    <w:p w14:paraId="4AD6EDF3" w14:textId="77777777">
      <w:pPr>
        <w:pBdr/>
        <w:spacing/>
        <w:ind/>
        <w:rPr>
          <w:rFonts w:cs="SPD TheSans"/>
        </w:rPr>
      </w:pPr>
      <w:r>
        <w:rPr>
          <w:rFonts w:eastAsia="SPD TheSans" w:cs="SPD TheSans"/>
          <w:lang w:bidi="de-DE"/>
        </w:rPr>
        <w:t xml:space="preserve">Den Klagen gab das Arbeitsgericht weitgehend statt, weil die Kündigung eines schwerbehinderten Arbeitnehmers ohne vorherige Zustimmung des Integrationsamts rechtsunwirksam ist (§ 168 Sozialgesetzbuch Neuntes Buch - SGB IX).</w:t>
      </w:r>
      <w:r>
        <w:rPr>
          <w:rFonts w:cs="SPD TheSans"/>
        </w:rPr>
      </w:r>
      <w:r>
        <w:rPr>
          <w:rFonts w:cs="SPD TheSans"/>
        </w:rPr>
      </w:r>
    </w:p>
    <w:p w14:paraId="5E33784F" w14:textId="77777777">
      <w:pPr>
        <w:pBdr/>
        <w:spacing/>
        <w:ind/>
        <w:rPr>
          <w:rFonts w:cs="SPD TheSans"/>
        </w:rPr>
      </w:pPr>
      <w:r>
        <w:rPr>
          <w:rFonts w:eastAsia="SPD TheSans" w:cs="SPD TheSans"/>
          <w:lang w:bidi="de-DE"/>
        </w:rPr>
        <w:t xml:space="preserve">Der Arbeitgeber könne den Arbeitsvertrag nicht anfechten, weil keine Offenbarungspflicht bezüglich der Schwerbehinderteneigenschaft bestehe; dies gelte ebenso für die unzutreffende Beantwortung einer nicht zulässigen Frage.</w:t>
      </w:r>
      <w:r>
        <w:rPr>
          <w:rFonts w:cs="SPD TheSans"/>
        </w:rPr>
      </w:r>
      <w:r>
        <w:rPr>
          <w:rFonts w:cs="SPD TheSans"/>
        </w:rPr>
      </w:r>
    </w:p>
    <w:p w14:paraId="09CCA73A" w14:textId="77777777">
      <w:pPr>
        <w:pBdr/>
        <w:spacing/>
        <w:ind/>
        <w:rPr>
          <w:rFonts w:cs="SPD TheSans"/>
        </w:rPr>
      </w:pPr>
      <w:r>
        <w:rPr>
          <w:rFonts w:eastAsia="SPD TheSans" w:cs="SPD TheSans"/>
          <w:lang w:bidi="de-DE"/>
        </w:rPr>
        <w:t xml:space="preserve">Die Berufung des Arbeitgebers wies das LAG zurück.</w:t>
      </w:r>
      <w:r>
        <w:rPr>
          <w:rFonts w:cs="SPD TheSans"/>
        </w:rPr>
      </w:r>
      <w:r>
        <w:rPr>
          <w:rFonts w:cs="SPD TheSans"/>
        </w:rPr>
      </w:r>
    </w:p>
    <w:p w14:paraId="30470BCF" w14:textId="77777777">
      <w:pPr>
        <w:pBdr/>
        <w:spacing/>
        <w:ind/>
        <w:rPr>
          <w:rFonts w:cs="SPD TheSans"/>
        </w:rPr>
      </w:pPr>
      <w:r>
        <w:rPr>
          <w:rFonts w:eastAsia="SPD TheSans" w:cs="SPD TheSans"/>
          <w:lang w:bidi="de-DE"/>
        </w:rPr>
        <w:t xml:space="preserve">Die Entscheidungen des Arbeitsgerichtes seien zutreffend. </w:t>
      </w:r>
      <w:r>
        <w:rPr>
          <w:rFonts w:cs="SPD TheSans"/>
        </w:rPr>
      </w:r>
      <w:r>
        <w:rPr>
          <w:rFonts w:cs="SPD TheSans"/>
        </w:rPr>
      </w:r>
    </w:p>
    <w:p w14:paraId="446A91FB" w14:textId="77777777">
      <w:pPr>
        <w:pBdr/>
        <w:spacing/>
        <w:ind/>
        <w:rPr>
          <w:rFonts w:cs="SPD TheSans"/>
        </w:rPr>
      </w:pPr>
      <w:r>
        <w:rPr>
          <w:rFonts w:eastAsia="SPD TheSans" w:cs="SPD TheSans"/>
          <w:lang w:bidi="de-DE"/>
        </w:rPr>
        <w:t xml:space="preserve">Es bestehe keine Verpflichtung, eine Schwerbehinderung unge</w:t>
      </w:r>
      <w:r>
        <w:rPr>
          <w:rFonts w:eastAsia="SPD TheSans" w:cs="SPD TheSans"/>
          <w:lang w:bidi="de-DE"/>
        </w:rPr>
        <w:t xml:space="preserve">fragt anzugeben. Auf eine unzulässige Frage darf unzutreffend geantwortet werden, ohne dass dies zu einer Anfechtung des Arbeitsvertrages berechtige. Eine Offenbarungspflicht bestehe nicht (§ 164 Abs. 2 SGB IX; §§ 1, 7 Allgemeines Gleichbehandlungsgesetz).</w:t>
      </w:r>
      <w:r>
        <w:rPr>
          <w:rFonts w:cs="SPD TheSans"/>
        </w:rPr>
      </w:r>
      <w:r>
        <w:rPr>
          <w:rFonts w:cs="SPD TheSans"/>
        </w:rPr>
      </w:r>
    </w:p>
    <w:p w14:paraId="4D02A872" w14:textId="77777777">
      <w:pPr>
        <w:pBdr/>
        <w:spacing/>
        <w:ind/>
        <w:rPr>
          <w:rFonts w:cs="SPD TheSans"/>
        </w:rPr>
      </w:pPr>
      <w:r>
        <w:rPr>
          <w:rFonts w:eastAsia="SPD TheSans" w:cs="SPD TheSans"/>
          <w:lang w:bidi="de-DE"/>
        </w:rPr>
        <w:t xml:space="preserve">Urteil LAG Köln vom 16.4.2026 - 6 </w:t>
      </w:r>
      <w:r>
        <w:rPr>
          <w:rFonts w:eastAsia="SPD TheSans" w:cs="SPD TheSans"/>
          <w:lang w:bidi="de-DE"/>
        </w:rPr>
        <w:t xml:space="preserve">SLa</w:t>
      </w:r>
      <w:r>
        <w:rPr>
          <w:rFonts w:eastAsia="SPD TheSans" w:cs="SPD TheSans"/>
          <w:lang w:bidi="de-DE"/>
        </w:rPr>
        <w:t xml:space="preserve"> 574/25</w:t>
      </w:r>
      <w:r>
        <w:rPr>
          <w:rFonts w:eastAsia="SPD TheSans" w:cs="SPD TheSans"/>
          <w:lang w:bidi="de-DE"/>
        </w:rPr>
        <w:br/>
        <w:t xml:space="preserve">Vorinstanz: Urteil Arbeitsgericht Aachen vom 11. 7.2025 - 4 </w:t>
      </w:r>
      <w:r>
        <w:rPr>
          <w:rFonts w:eastAsia="SPD TheSans" w:cs="SPD TheSans"/>
          <w:lang w:bidi="de-DE"/>
        </w:rPr>
        <w:t xml:space="preserve">Ca</w:t>
      </w:r>
      <w:r>
        <w:rPr>
          <w:rFonts w:eastAsia="SPD TheSans" w:cs="SPD TheSans"/>
          <w:lang w:bidi="de-DE"/>
        </w:rPr>
        <w:t xml:space="preserve"> 2741/23</w:t>
      </w:r>
      <w:r>
        <w:rPr>
          <w:rFonts w:cs="SPD TheSans"/>
        </w:rPr>
      </w:r>
      <w:r>
        <w:rPr>
          <w:rFonts w:cs="SPD TheSans"/>
        </w:rPr>
      </w:r>
    </w:p>
    <w:p w14:paraId="1621B20B" w14:textId="77777777">
      <w:pPr>
        <w:pBdr/>
        <w:spacing/>
        <w:ind/>
        <w:rPr>
          <w:rFonts w:cs="SPD TheSans"/>
        </w:rPr>
      </w:pPr>
      <w:r>
        <w:rPr>
          <w:rFonts w:cs="SPD TheSans"/>
        </w:rPr>
      </w:r>
      <w:r>
        <w:rPr>
          <w:rFonts w:cs="SPD TheSans"/>
        </w:rPr>
      </w:r>
      <w:r>
        <w:rPr>
          <w:rFonts w:cs="SPD TheSans"/>
        </w:rPr>
      </w:r>
    </w:p>
    <w:p w14:paraId="37F7C88B" w14:textId="77777777">
      <w:pPr>
        <w:pBdr/>
        <w:spacing/>
        <w:ind/>
        <w:rPr>
          <w:rFonts w:cs="SPD TheSans"/>
        </w:rPr>
      </w:pPr>
      <w:r>
        <w:rPr>
          <w:rFonts w:cs="SPD TheSans"/>
        </w:rPr>
      </w:r>
      <w:r>
        <w:rPr>
          <w:rFonts w:cs="SPD TheSans"/>
        </w:rPr>
      </w:r>
      <w:r>
        <w:rPr>
          <w:rFonts w:cs="SPD TheSans"/>
        </w:rPr>
      </w:r>
    </w:p>
    <w:p w14:paraId="6EF738C8" w14:textId="77777777">
      <w:pPr>
        <w:pStyle w:val="939"/>
        <w:pBdr/>
        <w:spacing/>
        <w:ind/>
        <w:rPr>
          <w:rFonts w:cs="SPD TheSans"/>
        </w:rPr>
      </w:pPr>
      <w:r/>
      <w:bookmarkStart w:id="95" w:name="_Toc13"/>
      <w:r>
        <w:rPr>
          <w:rFonts w:eastAsia="SPD TheSans" w:cs="SPD TheSans"/>
          <w:lang w:bidi="de-DE"/>
        </w:rPr>
        <w:t xml:space="preserve">Studie des Deutschen Instituts für Menschenrechte (DIMR) zur Inklusiven Bildung</w:t>
      </w:r>
      <w:r/>
      <w:bookmarkEnd w:id="95"/>
      <w:r/>
      <w:r>
        <w:rPr>
          <w:rFonts w:cs="SPD TheSans"/>
        </w:rPr>
      </w:r>
    </w:p>
    <w:p w14:paraId="5189C136" w14:textId="77777777">
      <w:pPr>
        <w:pBdr/>
        <w:spacing/>
        <w:ind/>
        <w:rPr>
          <w:rFonts w:cs="SPD TheSans"/>
          <w:bCs/>
          <w:i/>
          <w:sz w:val="24"/>
          <w:szCs w:val="24"/>
        </w:rPr>
      </w:pPr>
      <w:r>
        <w:rPr>
          <w:rFonts w:eastAsia="SPD TheSans" w:cs="SPD TheSans"/>
          <w:i/>
          <w:iCs/>
          <w:sz w:val="24"/>
          <w:szCs w:val="24"/>
          <w:lang w:bidi="de-DE"/>
        </w:rPr>
        <w:t xml:space="preserve">Recherche: Henry </w:t>
      </w:r>
      <w:r>
        <w:rPr>
          <w:rFonts w:eastAsia="SPD TheSans" w:cs="SPD TheSans"/>
          <w:i/>
          <w:iCs/>
          <w:sz w:val="24"/>
          <w:szCs w:val="24"/>
          <w:lang w:bidi="de-DE"/>
        </w:rPr>
        <w:t xml:space="preserve">Spradau</w:t>
      </w:r>
      <w:r>
        <w:rPr>
          <w:rFonts w:cs="SPD TheSans"/>
          <w:bCs/>
          <w:i/>
          <w:sz w:val="24"/>
          <w:szCs w:val="24"/>
        </w:rPr>
      </w:r>
      <w:r>
        <w:rPr>
          <w:rFonts w:cs="SPD TheSans"/>
          <w:bCs/>
          <w:i/>
          <w:sz w:val="24"/>
          <w:szCs w:val="24"/>
        </w:rPr>
      </w:r>
    </w:p>
    <w:p w14:paraId="1CED9D47" w14:textId="77777777">
      <w:pPr>
        <w:pBdr/>
        <w:spacing/>
        <w:ind/>
        <w:rPr>
          <w:rFonts w:cs="SPD TheSans"/>
        </w:rPr>
      </w:pPr>
      <w:r>
        <w:rPr>
          <w:rFonts w:eastAsia="SPD TheSans" w:cs="SPD TheSans"/>
          <w:lang w:bidi="de-DE"/>
        </w:rPr>
        <w:t xml:space="preserve">Das DIMR ist u.a. als Unabhän</w:t>
      </w:r>
      <w:r>
        <w:rPr>
          <w:rFonts w:eastAsia="SPD TheSans" w:cs="SPD TheSans"/>
          <w:lang w:bidi="de-DE"/>
        </w:rPr>
        <w:t xml:space="preserve">gige Stelle mit dem Monitoring der Umsetzung der UN-Behindertenrechtskonvention betraut worden (Art. 33 Abs. 2 UN-BRK). Dazu gehören u.a. Information, Dokumentation und anwendungsorientierte Forschung. Das Institut wird vom Deutschen Bundestag finanziert. </w:t>
      </w:r>
      <w:r>
        <w:rPr>
          <w:rFonts w:cs="SPD TheSans"/>
        </w:rPr>
      </w:r>
      <w:r>
        <w:rPr>
          <w:rFonts w:cs="SPD TheSans"/>
        </w:rPr>
      </w:r>
    </w:p>
    <w:p w14:paraId="70387C4B" w14:textId="77777777">
      <w:pPr>
        <w:pBdr/>
        <w:spacing/>
        <w:ind/>
        <w:rPr>
          <w:rFonts w:cs="SPD TheSans"/>
        </w:rPr>
      </w:pPr>
      <w:r>
        <w:rPr>
          <w:rFonts w:eastAsia="SPD TheSans" w:cs="SPD TheSans"/>
          <w:lang w:bidi="de-DE"/>
        </w:rPr>
        <w:t xml:space="preserve">Das DIMR hat in einer Studie „Inklusive Bildung zwischen Wunsch und Wirklichkeit“ erstmals deutschlandweit rund 7.500 Eltern von Kindern mit Behinderungen zu ihren Erfahrungen mit der schulischen Bildung ihrer Kinder befragt. </w:t>
      </w:r>
      <w:r>
        <w:rPr>
          <w:rFonts w:cs="SPD TheSans"/>
        </w:rPr>
      </w:r>
      <w:r>
        <w:rPr>
          <w:rFonts w:cs="SPD TheSans"/>
        </w:rPr>
      </w:r>
    </w:p>
    <w:p w14:paraId="178B835D" w14:textId="77777777">
      <w:pPr>
        <w:pBdr/>
        <w:spacing/>
        <w:ind/>
        <w:rPr>
          <w:rFonts w:cs="SPD TheSans"/>
        </w:rPr>
      </w:pPr>
      <w:r>
        <w:rPr>
          <w:rFonts w:eastAsia="SPD TheSans" w:cs="SPD TheSans"/>
          <w:lang w:bidi="de-DE"/>
        </w:rPr>
        <w:t xml:space="preserve">Zahlreiche bildungswissenschaftliche Studien zeigen: Inklusiver Unte</w:t>
      </w:r>
      <w:r>
        <w:rPr>
          <w:rFonts w:eastAsia="SPD TheSans" w:cs="SPD TheSans"/>
          <w:lang w:bidi="de-DE"/>
        </w:rPr>
        <w:t xml:space="preserve">rricht bringt allen Schüler*innen Vorteile. Kinder mit sonderpädagogischem Förderbedarf lernen an allgemeinen Schulen nachweislich mehr als an Förderschulen. Gleichzeitig bleibt der Lernfortschritt ihrer Mitschüler*innen ohne Förderbedarf unbeeinträchtigt.</w:t>
      </w:r>
      <w:r>
        <w:rPr>
          <w:rFonts w:cs="SPD TheSans"/>
        </w:rPr>
      </w:r>
      <w:r>
        <w:rPr>
          <w:rFonts w:cs="SPD TheSans"/>
        </w:rPr>
      </w:r>
    </w:p>
    <w:p w14:paraId="410E264D" w14:textId="77777777">
      <w:pPr>
        <w:pBdr/>
        <w:spacing/>
        <w:ind/>
        <w:rPr>
          <w:rFonts w:cs="SPD TheSans"/>
        </w:rPr>
      </w:pPr>
      <w:r>
        <w:rPr>
          <w:rFonts w:eastAsia="SPD TheSans" w:cs="SPD TheSans"/>
          <w:lang w:bidi="de-DE"/>
        </w:rPr>
        <w:t xml:space="preserve">Die Zahl der Kinder mit sonderpädagogischem Förderbedarf ist in den letzten Jahren gestiegen. 60 Prozent von </w:t>
      </w:r>
      <w:r>
        <w:rPr>
          <w:rFonts w:eastAsia="SPD TheSans" w:cs="SPD TheSans"/>
          <w:lang w:bidi="de-DE"/>
        </w:rPr>
        <w:t xml:space="preserve">ihnen finden sich in Förderschulen wieder. Dabei lehnen 82 Prozent der Eltern schulpflichtiger Kinder mit Behinderungen getrennten Unterricht ab, wie eine aktuelle Studie des Instituts zeigt. Zwischen den Bundesländern zeigen sich erhebliche Unterschiede. </w:t>
      </w:r>
      <w:r>
        <w:rPr>
          <w:rFonts w:cs="SPD TheSans"/>
        </w:rPr>
      </w:r>
      <w:r>
        <w:rPr>
          <w:rFonts w:cs="SPD TheSans"/>
        </w:rPr>
      </w:r>
    </w:p>
    <w:p w14:paraId="4CCDB234" w14:textId="77777777">
      <w:pPr>
        <w:pBdr/>
        <w:spacing/>
        <w:ind/>
        <w:rPr>
          <w:rFonts w:cs="SPD TheSans"/>
        </w:rPr>
      </w:pPr>
      <w:r>
        <w:rPr>
          <w:rFonts w:eastAsia="SPD TheSans" w:cs="SPD TheSans"/>
          <w:lang w:bidi="de-DE"/>
        </w:rPr>
        <w:t xml:space="preserve">Die zentralen Ergebnisse sind in der Studie dargestellt. </w:t>
      </w:r>
      <w:r>
        <w:rPr>
          <w:rFonts w:cs="SPD TheSans"/>
        </w:rPr>
      </w:r>
      <w:r>
        <w:rPr>
          <w:rFonts w:cs="SPD TheSans"/>
        </w:rPr>
      </w:r>
    </w:p>
    <w:p w14:paraId="718810F8" w14:textId="77777777">
      <w:pPr>
        <w:pBdr/>
        <w:spacing/>
        <w:ind/>
        <w:rPr>
          <w:rFonts w:cs="SPD TheSans"/>
        </w:rPr>
      </w:pPr>
      <w:r>
        <w:rPr>
          <w:rFonts w:eastAsia="SPD TheSans" w:cs="SPD TheSans"/>
          <w:lang w:bidi="de-DE"/>
        </w:rPr>
        <w:t xml:space="preserve">Die Textfassung ist unter folgendem Link aufrufbar:</w:t>
      </w:r>
      <w:r>
        <w:rPr>
          <w:rFonts w:eastAsia="SPD TheSans" w:cs="SPD TheSans"/>
          <w:lang w:bidi="de-DE"/>
        </w:rPr>
        <w:br/>
      </w:r>
      <w:hyperlink r:id="rId20" w:tooltip="https://www.institut-fuer-menschenrechte.de/publikationen/detail/inklusive-bildung-zwischen-wunsch-und-wirklichkeit" w:history="1">
        <w:r>
          <w:rPr>
            <w:rStyle w:val="930"/>
            <w:rFonts w:eastAsia="SPD TheSans" w:cs="SPD TheSans"/>
            <w:lang w:bidi="de-DE"/>
          </w:rPr>
          <w:t xml:space="preserve">https://www.institut-fuer-menschenrechte.de/publikationen/detail/inklusive-bildung-zwischen-wunsch-und-wirklichkeit</w:t>
        </w:r>
      </w:hyperlink>
      <w:r>
        <w:rPr>
          <w:rFonts w:cs="SPD TheSans"/>
        </w:rPr>
      </w:r>
      <w:r>
        <w:rPr>
          <w:rFonts w:cs="SPD TheSans"/>
        </w:rPr>
      </w:r>
    </w:p>
    <w:p w14:paraId="56566AF3" w14:textId="77777777">
      <w:pPr>
        <w:pBdr/>
        <w:spacing/>
        <w:ind/>
        <w:rPr>
          <w:rFonts w:cs="SPD TheSans"/>
        </w:rPr>
      </w:pPr>
      <w:r>
        <w:rPr>
          <w:rFonts w:eastAsia="SPD TheSans" w:cs="SPD TheSans"/>
          <w:lang w:bidi="de-DE"/>
        </w:rPr>
        <w:t xml:space="preserve">Es gibt auch eine Kurzübersicht:</w:t>
      </w:r>
      <w:r>
        <w:rPr>
          <w:rFonts w:eastAsia="SPD TheSans" w:cs="SPD TheSans"/>
          <w:lang w:bidi="de-DE"/>
        </w:rPr>
        <w:br/>
      </w:r>
      <w:hyperlink r:id="rId21" w:tooltip="https://www.institut-fuer-menschenrechte.de/publikationen/detail/schulische-inklusion-wirksam-umsetzen" w:history="1">
        <w:r>
          <w:rPr>
            <w:rStyle w:val="930"/>
            <w:rFonts w:eastAsia="SPD TheSans" w:cs="SPD TheSans"/>
            <w:lang w:bidi="de-DE"/>
          </w:rPr>
          <w:t xml:space="preserve">https://www.institut-fuer-menschenrechte.de/publikationen/detail/schulische-inklusion-wirksam-umsetzen</w:t>
        </w:r>
      </w:hyperlink>
      <w:r>
        <w:rPr>
          <w:rFonts w:cs="SPD TheSans"/>
        </w:rPr>
      </w:r>
      <w:r>
        <w:rPr>
          <w:rFonts w:cs="SPD TheSans"/>
        </w:rPr>
      </w:r>
    </w:p>
    <w:p w14:paraId="370FE376">
      <w:pPr>
        <w:pBdr/>
        <w:spacing/>
        <w:ind/>
        <w:rPr>
          <w:rFonts w:cs="SPD TheSans"/>
        </w:rPr>
      </w:pPr>
      <w:r>
        <w:rPr>
          <w:rFonts w:cs="SPD TheSans"/>
        </w:rPr>
      </w:r>
      <w:r>
        <w:rPr>
          <w:rFonts w:cs="SPD TheSans"/>
        </w:rPr>
      </w:r>
      <w:r>
        <w:rPr>
          <w:rFonts w:cs="SPD TheSans"/>
        </w:rPr>
      </w:r>
    </w:p>
    <w:p w14:paraId="58EBFF81" w14:textId="77777777">
      <w:pPr>
        <w:pBdr/>
        <w:spacing/>
        <w:ind/>
        <w:rPr>
          <w:rFonts w:cs="SPD TheSans"/>
        </w:rPr>
      </w:pPr>
      <w:r>
        <w:rPr>
          <w:rFonts w:cs="SPD TheSans"/>
        </w:rPr>
      </w:r>
      <w:r>
        <w:rPr>
          <w:rFonts w:cs="SPD TheSans"/>
        </w:rPr>
      </w:r>
      <w:r>
        <w:rPr>
          <w:rFonts w:cs="SPD TheSans"/>
        </w:rPr>
      </w:r>
    </w:p>
    <w:p w14:paraId="6BF7DD5D" w14:textId="77777777">
      <w:pPr>
        <w:pStyle w:val="939"/>
        <w:pBdr/>
        <w:spacing/>
        <w:ind/>
        <w:rPr>
          <w:rFonts w:cs="SPD TheSans"/>
          <w14:ligatures w14:val="none"/>
        </w:rPr>
      </w:pPr>
      <w:r/>
      <w:bookmarkStart w:id="96" w:name="_Toc14"/>
      <w:r>
        <w:rPr>
          <w:rFonts w:eastAsia="SPD TheSans" w:cs="SPD TheSans"/>
        </w:rPr>
        <w:t xml:space="preserve">BIH Jahresbericht 2024</w:t>
      </w:r>
      <w:r/>
      <w:bookmarkEnd w:id="96"/>
      <w:r/>
      <w:r>
        <w:rPr>
          <w:rFonts w:cs="SPD TheSans"/>
          <w14:ligatures w14:val="none"/>
        </w:rPr>
      </w:r>
    </w:p>
    <w:p w14:paraId="1838C23D" w14:textId="77777777">
      <w:pPr>
        <w:pBdr/>
        <w:spacing/>
        <w:ind/>
        <w:rPr>
          <w:rFonts w:cs="SPD TheSans"/>
        </w:rPr>
      </w:pPr>
      <w:r>
        <w:rPr>
          <w:rFonts w:eastAsia="SPD TheSans" w:cs="SPD TheSans"/>
          <w:i/>
          <w:iCs/>
          <w:sz w:val="24"/>
          <w:szCs w:val="24"/>
        </w:rPr>
        <w:t xml:space="preserve">Recherche: Henry </w:t>
      </w:r>
      <w:r>
        <w:rPr>
          <w:rFonts w:eastAsia="SPD TheSans" w:cs="SPD TheSans"/>
          <w:i/>
          <w:iCs/>
          <w:sz w:val="24"/>
          <w:szCs w:val="24"/>
        </w:rPr>
        <w:t xml:space="preserve">Spradau</w:t>
      </w:r>
      <w:r>
        <w:rPr>
          <w:rFonts w:cs="SPD TheSans"/>
        </w:rPr>
      </w:r>
      <w:r>
        <w:rPr>
          <w:rFonts w:cs="SPD TheSans"/>
        </w:rPr>
      </w:r>
    </w:p>
    <w:p w14:paraId="30787341" w14:textId="77777777">
      <w:pPr>
        <w:pBdr/>
        <w:spacing/>
        <w:ind/>
        <w:rPr>
          <w:rFonts w:cs="SPD TheSans"/>
        </w:rPr>
      </w:pPr>
      <w:r>
        <w:rPr>
          <w:rFonts w:eastAsia="SPD TheSans" w:cs="SPD TheSans"/>
        </w:rPr>
        <w:t xml:space="preserve">Die Bundesarbeitsgemeinschaft</w:t>
      </w:r>
      <w:r>
        <w:rPr>
          <w:rFonts w:eastAsia="SPD TheSans" w:cs="SPD TheSans"/>
        </w:rPr>
        <w:t xml:space="preserve"> der Inklusionsämter und Hilfen der Sozialen Entschädigung (BIH) e.V. hat kürzlich ihren Jahresbericht veröffentlicht. Er enthält eine detaillierte Übersicht über die Wahrnehmung der Aufgaben und die Verwendung der Mittel der Ausgleichsabgabe im Jahr 2024.</w:t>
      </w:r>
      <w:r>
        <w:rPr>
          <w:rFonts w:cs="SPD TheSans"/>
        </w:rPr>
      </w:r>
      <w:r>
        <w:rPr>
          <w:rFonts w:cs="SPD TheSans"/>
        </w:rPr>
      </w:r>
    </w:p>
    <w:p w14:paraId="4EDE70FF" w14:textId="77777777">
      <w:pPr>
        <w:pBdr/>
        <w:spacing/>
        <w:ind/>
        <w:rPr>
          <w:rFonts w:cs="SPD TheSans"/>
        </w:rPr>
      </w:pPr>
      <w:r>
        <w:rPr>
          <w:rFonts w:eastAsia="SPD TheSans" w:cs="SPD TheSans"/>
        </w:rPr>
        <w:t xml:space="preserve">Inklusions-/Integrationsämter sind für vielfältige Aufgaben bei der Eingliederung schwerbehinderter Menschen in das Arbeitsleben nach dem Sozialgesetzbuch IX zuständig. Sie sind gleichermaßen für behinderte Menschen wie auch für </w:t>
      </w:r>
      <w:r>
        <w:rPr>
          <w:rFonts w:eastAsia="SPD TheSans" w:cs="SPD TheSans"/>
        </w:rPr>
        <w:t xml:space="preserve">Arbeitgebende</w:t>
      </w:r>
      <w:r>
        <w:rPr>
          <w:rFonts w:eastAsia="SPD TheSans" w:cs="SPD TheSans"/>
        </w:rPr>
        <w:t xml:space="preserve"> und auch Dritte tätig. Zu ihren Aufgaben zählen u.a.</w:t>
      </w:r>
      <w:r>
        <w:rPr>
          <w:rFonts w:cs="SPD TheSans"/>
        </w:rPr>
      </w:r>
      <w:r>
        <w:rPr>
          <w:rFonts w:cs="SPD TheSans"/>
        </w:rPr>
      </w:r>
    </w:p>
    <w:p w14:paraId="319C3959" w14:textId="77777777">
      <w:pPr>
        <w:pBdr/>
        <w:spacing/>
        <w:ind/>
        <w:rPr>
          <w:rFonts w:cs="SPD TheSans"/>
        </w:rPr>
      </w:pPr>
      <w:r>
        <w:rPr>
          <w:rFonts w:eastAsia="SPD TheSans" w:cs="SPD TheSans"/>
        </w:rPr>
        <w:t xml:space="preserve">-finanzielle und persönliche Leistungen für schwerbehinderte Menschen und ihre Arbeitgeber</w:t>
      </w:r>
      <w:r>
        <w:rPr>
          <w:rFonts w:cs="SPD TheSans"/>
        </w:rPr>
      </w:r>
      <w:r>
        <w:rPr>
          <w:rFonts w:cs="SPD TheSans"/>
        </w:rPr>
      </w:r>
    </w:p>
    <w:p w14:paraId="51E5C067" w14:textId="77777777">
      <w:pPr>
        <w:pBdr/>
        <w:spacing/>
        <w:ind/>
        <w:rPr>
          <w:rFonts w:cs="SPD TheSans"/>
        </w:rPr>
      </w:pPr>
      <w:r>
        <w:rPr>
          <w:rFonts w:eastAsia="SPD TheSans" w:cs="SPD TheSans"/>
        </w:rPr>
        <w:t xml:space="preserve">-besonderer Kündigungsschutz</w:t>
      </w:r>
      <w:r>
        <w:rPr>
          <w:rFonts w:cs="SPD TheSans"/>
        </w:rPr>
      </w:r>
      <w:r>
        <w:rPr>
          <w:rFonts w:cs="SPD TheSans"/>
        </w:rPr>
      </w:r>
    </w:p>
    <w:p w14:paraId="3D6F7B16" w14:textId="77777777">
      <w:pPr>
        <w:pBdr/>
        <w:spacing/>
        <w:ind/>
        <w:rPr>
          <w:rFonts w:eastAsia="SPD TheSans" w:cs="SPD TheSans"/>
        </w:rPr>
      </w:pPr>
      <w:r>
        <w:rPr>
          <w:rFonts w:eastAsia="SPD TheSans" w:cs="SPD TheSans"/>
        </w:rPr>
        <w:t xml:space="preserve">-Informationen und Fortbildung für Vertrauensleute der schwerbehinderten Beschäftigten, Betriebs- und Personalräte und sonstige Personen </w:t>
      </w:r>
      <w:r>
        <w:rPr>
          <w:rFonts w:eastAsia="SPD TheSans" w:cs="SPD TheSans"/>
        </w:rPr>
      </w:r>
      <w:r>
        <w:rPr>
          <w:rFonts w:eastAsia="SPD TheSans" w:cs="SPD TheSans"/>
        </w:rPr>
      </w:r>
    </w:p>
    <w:p w14:paraId="24D3F389" w14:textId="1DB82BA8">
      <w:pPr>
        <w:pBdr/>
        <w:spacing/>
        <w:ind/>
        <w:rPr>
          <w:rFonts w:cs="SPD TheSans"/>
        </w:rPr>
      </w:pPr>
      <w:r>
        <w:rPr>
          <w:rFonts w:eastAsia="SPD TheSans" w:cs="SPD TheSans"/>
        </w:rPr>
        <w:t xml:space="preserve">-Öffentlichkeitsarbeit</w:t>
      </w:r>
      <w:r>
        <w:rPr>
          <w:rFonts w:cs="SPD TheSans"/>
        </w:rPr>
      </w:r>
      <w:r>
        <w:rPr>
          <w:rFonts w:cs="SPD TheSans"/>
        </w:rPr>
      </w:r>
    </w:p>
    <w:p w14:paraId="38D2819B" w14:textId="77777777">
      <w:pPr>
        <w:pBdr/>
        <w:spacing/>
        <w:ind/>
        <w:rPr>
          <w:rFonts w:cs="SPD TheSans"/>
        </w:rPr>
      </w:pPr>
      <w:r>
        <w:rPr>
          <w:rFonts w:eastAsia="SPD TheSans" w:cs="SPD TheSans"/>
        </w:rPr>
        <w:t xml:space="preserve">-Erhebung und Verwendung der Ausgleichsabgabe</w:t>
      </w:r>
      <w:r>
        <w:rPr>
          <w:rFonts w:cs="SPD TheSans"/>
        </w:rPr>
      </w:r>
      <w:r>
        <w:rPr>
          <w:rFonts w:cs="SPD TheSans"/>
        </w:rPr>
      </w:r>
    </w:p>
    <w:p w14:paraId="25059972" w14:textId="77777777">
      <w:pPr>
        <w:pBdr/>
        <w:spacing/>
        <w:ind/>
        <w:rPr>
          <w:rFonts w:cs="SPD TheSans"/>
        </w:rPr>
      </w:pPr>
      <w:r>
        <w:rPr>
          <w:rFonts w:eastAsia="SPD TheSans" w:cs="SPD TheSans"/>
        </w:rPr>
        <w:t xml:space="preserve">-Förderung von Integrationsfachdiensten und Inklusionsbetrieben </w:t>
      </w:r>
      <w:r>
        <w:rPr>
          <w:rFonts w:cs="SPD TheSans"/>
        </w:rPr>
      </w:r>
      <w:r>
        <w:rPr>
          <w:rFonts w:cs="SPD TheSans"/>
        </w:rPr>
      </w:r>
    </w:p>
    <w:p w14:paraId="3EAD0246" w14:textId="77777777">
      <w:pPr>
        <w:pBdr/>
        <w:spacing/>
        <w:ind/>
        <w:rPr>
          <w:rFonts w:cs="SPD TheSans"/>
        </w:rPr>
      </w:pPr>
      <w:r>
        <w:rPr>
          <w:rFonts w:eastAsia="SPD TheSans" w:cs="SPD TheSans"/>
        </w:rPr>
        <w:t xml:space="preserve">-Arbeitsmarktprogramme</w:t>
      </w:r>
      <w:r>
        <w:rPr>
          <w:rFonts w:cs="SPD TheSans"/>
        </w:rPr>
      </w:r>
      <w:r>
        <w:rPr>
          <w:rFonts w:cs="SPD TheSans"/>
        </w:rPr>
      </w:r>
    </w:p>
    <w:p w14:paraId="3A01B443" w14:textId="77777777">
      <w:pPr>
        <w:pBdr/>
        <w:spacing/>
        <w:ind/>
        <w:rPr>
          <w:rFonts w:cs="SPD TheSans"/>
        </w:rPr>
      </w:pPr>
      <w:r>
        <w:rPr>
          <w:rFonts w:eastAsia="SPD TheSans" w:cs="SPD TheSans"/>
        </w:rPr>
        <w:t xml:space="preserve">-Prävention und Betriebliches Eingliederungsmanagement </w:t>
      </w:r>
      <w:r>
        <w:rPr>
          <w:rFonts w:cs="SPD TheSans"/>
        </w:rPr>
      </w:r>
      <w:r>
        <w:rPr>
          <w:rFonts w:cs="SPD TheSans"/>
        </w:rPr>
      </w:r>
    </w:p>
    <w:p w14:paraId="2D9B9745" w14:textId="77777777">
      <w:pPr>
        <w:pBdr/>
        <w:spacing/>
        <w:ind/>
        <w:rPr>
          <w:rFonts w:cs="SPD TheSans"/>
        </w:rPr>
      </w:pPr>
      <w:r>
        <w:rPr>
          <w:rFonts w:eastAsia="SPD TheSans" w:cs="SPD TheSans"/>
        </w:rPr>
        <w:t xml:space="preserve">Das bu</w:t>
      </w:r>
      <w:r>
        <w:rPr>
          <w:rFonts w:eastAsia="SPD TheSans" w:cs="SPD TheSans"/>
        </w:rPr>
        <w:t xml:space="preserve">ndesweite Aufkommen der Ausgleichsabgabe lag 2024 bei rund 893 Mio. Euro. Davon verblieben 82 % (733 Mio. Euro) bei den Inklusions-/Integrationsämtern, 18 Prozent werden an den Ausgleichsfonds beim Bundesministerium für Arbeit und Soziales weitergeleitet. </w:t>
      </w:r>
      <w:r>
        <w:rPr>
          <w:rFonts w:cs="SPD TheSans"/>
        </w:rPr>
      </w:r>
      <w:r>
        <w:rPr>
          <w:rFonts w:cs="SPD TheSans"/>
        </w:rPr>
      </w:r>
    </w:p>
    <w:p w14:paraId="331D811F" w14:textId="77777777">
      <w:pPr>
        <w:pBdr/>
        <w:spacing/>
        <w:ind/>
        <w:rPr>
          <w:rFonts w:cs="SPD TheSans"/>
        </w:rPr>
      </w:pPr>
      <w:r>
        <w:rPr>
          <w:rFonts w:eastAsia="SPD TheSans" w:cs="SPD TheSans"/>
        </w:rPr>
        <w:t xml:space="preserve">Die Ausgaben betrugen rund 755 Mio. Euro. Unter anderem erhielten davon </w:t>
      </w:r>
      <w:r>
        <w:rPr>
          <w:rFonts w:eastAsia="SPD TheSans" w:cs="SPD TheSans"/>
        </w:rPr>
        <w:t xml:space="preserve">Arbeitgebende</w:t>
      </w:r>
      <w:r>
        <w:rPr>
          <w:rFonts w:eastAsia="SPD TheSans" w:cs="SPD TheSans"/>
        </w:rPr>
        <w:t xml:space="preserve"> 236 Mio. Euro, um Arbeitsplätze für schwerbehinderte </w:t>
      </w:r>
      <w:r>
        <w:rPr>
          <w:rFonts w:eastAsia="SPD TheSans" w:cs="SPD TheSans"/>
        </w:rPr>
        <w:t xml:space="preserve">Arbeitnehmende</w:t>
      </w:r>
      <w:r>
        <w:rPr>
          <w:rFonts w:eastAsia="SPD TheSans" w:cs="SPD TheSans"/>
        </w:rPr>
        <w:t xml:space="preserve"> zu schaffen und zu sichern. Mit weiteren 146 Mio. Euro wurden 1.037 Inklusionsbetriebe und mit 138 Mio. Euro die Integrationsfachdienste gefördert.</w:t>
      </w:r>
      <w:r>
        <w:rPr>
          <w:rFonts w:cs="SPD TheSans"/>
        </w:rPr>
      </w:r>
      <w:r>
        <w:rPr>
          <w:rFonts w:cs="SPD TheSans"/>
        </w:rPr>
      </w:r>
    </w:p>
    <w:p w14:paraId="389AC110" w14:textId="77777777">
      <w:pPr>
        <w:pBdr/>
        <w:spacing/>
        <w:ind/>
        <w:rPr>
          <w:rFonts w:cs="SPD TheSans"/>
        </w:rPr>
      </w:pPr>
      <w:r>
        <w:rPr>
          <w:rFonts w:eastAsia="SPD TheSans" w:cs="SPD TheSans"/>
        </w:rPr>
        <w:t xml:space="preserve">9.900 schwerbehinderte Menschen erhielten Leistungen der Begleitenden Hilfe im Arbeitsleben in Höhe von 86 Mio. Euro beispielsweise für Arbeitshilfen, Qualifizierung, Mobilität oder Arbeitsassistenz.</w:t>
      </w:r>
      <w:r>
        <w:rPr>
          <w:rFonts w:cs="SPD TheSans"/>
        </w:rPr>
      </w:r>
      <w:r>
        <w:rPr>
          <w:rFonts w:cs="SPD TheSans"/>
        </w:rPr>
      </w:r>
    </w:p>
    <w:p w14:paraId="68B5851E" w14:textId="77777777">
      <w:pPr>
        <w:pBdr/>
        <w:spacing/>
        <w:ind/>
        <w:rPr>
          <w:rFonts w:cs="SPD TheSans"/>
        </w:rPr>
      </w:pPr>
      <w:r>
        <w:rPr>
          <w:rFonts w:eastAsia="SPD TheSans" w:cs="SPD TheSans"/>
        </w:rPr>
        <w:t xml:space="preserve">Nähere Einzelheiten siehe unter folgendem Link: </w:t>
      </w:r>
      <w:hyperlink r:id="rId22" w:tooltip="https://jahresberichte.bih.de/" w:history="1">
        <w:r>
          <w:rPr>
            <w:rStyle w:val="930"/>
            <w:rFonts w:eastAsia="SPD TheSans" w:cs="SPD TheSans"/>
          </w:rPr>
          <w:t xml:space="preserve">https://jahresberichte.bih.de/</w:t>
        </w:r>
      </w:hyperlink>
      <w:r>
        <w:rPr>
          <w:rFonts w:cs="SPD TheSans"/>
        </w:rPr>
      </w:r>
      <w:r>
        <w:rPr>
          <w:rFonts w:cs="SPD TheSans"/>
        </w:rPr>
      </w:r>
    </w:p>
    <w:p w14:paraId="235691C1" w14:textId="77777777">
      <w:pPr>
        <w:pBdr/>
        <w:spacing/>
        <w:ind/>
        <w:rPr>
          <w:rFonts w:cs="SPD TheSans"/>
        </w:rPr>
      </w:pPr>
      <w:r>
        <w:rPr>
          <w:rFonts w:cs="SPD TheSans"/>
        </w:rPr>
        <w:br w:type="page" w:clear="all"/>
      </w:r>
      <w:r>
        <w:rPr>
          <w:rFonts w:cs="SPD TheSans"/>
        </w:rPr>
      </w:r>
      <w:r>
        <w:rPr>
          <w:rFonts w:cs="SPD TheSans"/>
        </w:rPr>
      </w:r>
    </w:p>
    <w:tbl>
      <w:tblPr>
        <w:tblStyle w:val="931"/>
        <w:tblW w:w="9416" w:type="dxa"/>
        <w:tblBorders/>
        <w:tblLook w:val="04A0" w:firstRow="1" w:lastRow="0" w:firstColumn="1" w:lastColumn="0" w:noHBand="0" w:noVBand="1"/>
      </w:tblPr>
      <w:tblGrid>
        <w:gridCol w:w="9416"/>
      </w:tblGrid>
      <w:tr>
        <w:trPr>
          <w:trHeight w:val="11410"/>
        </w:trPr>
        <w:tc>
          <w:tcPr>
            <w:shd w:val="clear" w:color="auto" w:fill="fbe4d5" w:themeFill="accent2" w:themeFillTint="33"/>
            <w:tcBorders>
              <w:top w:val="none" w:color="000000" w:sz="4" w:space="0"/>
              <w:left w:val="none" w:color="000000" w:sz="4" w:space="0"/>
              <w:bottom w:val="none" w:color="000000" w:sz="4" w:space="0"/>
              <w:right w:val="none" w:color="000000" w:sz="4" w:space="0"/>
            </w:tcBorders>
            <w:tcW w:w="9416" w:type="dxa"/>
          </w:tcPr>
          <w:p w14:paraId="3AE02750" w14:textId="36305FED">
            <w:pPr>
              <w:pStyle w:val="939"/>
              <w:pBdr/>
              <w:spacing/>
              <w:ind/>
              <w:rPr>
                <w:rFonts w:cs="SPD TheSans"/>
                <w:sz w:val="28"/>
                <w:szCs w:val="28"/>
              </w:rPr>
            </w:pPr>
            <w:r/>
            <w:bookmarkStart w:id="97" w:name="_Toc15"/>
            <w:r>
              <w:rPr>
                <w:rFonts w:eastAsia="SPD TheSans" w:cs="SPD TheSans"/>
                <w:sz w:val="28"/>
                <w:szCs w:val="28"/>
              </w:rPr>
              <w:t xml:space="preserve">Hinweise zum Selbst Aktiv-Newsletter „Kurier“</w:t>
            </w:r>
            <w:r/>
            <w:bookmarkEnd w:id="97"/>
            <w:r/>
            <w:r>
              <w:rPr>
                <w:rFonts w:cs="SPD TheSans"/>
                <w:sz w:val="28"/>
                <w:szCs w:val="28"/>
              </w:rPr>
            </w:r>
          </w:p>
          <w:p w14:paraId="5804B128" w14:textId="09192626">
            <w:pPr>
              <w:pBdr/>
              <w:tabs>
                <w:tab w:val="left" w:leader="none" w:pos="7252"/>
              </w:tabs>
              <w:spacing/>
              <w:ind/>
              <w:rPr>
                <w:rFonts w:cs="SPD TheSans"/>
              </w:rPr>
            </w:pPr>
            <w:r>
              <w:rPr>
                <w:rFonts w:eastAsia="SPD TheSans" w:cs="SPD TheSans"/>
              </w:rPr>
              <w:t xml:space="preserve">Der „Kurier“ wird automatisch an alle interessierten Mitglieder der SPD für die Arbeit der AG Selbst Aktiv gesendet und darf gerne auch an Nicht-Parteimitglieder weitergeleitet werden. </w:t>
            </w:r>
            <w:r>
              <w:rPr>
                <w:rFonts w:cs="SPD TheSans"/>
              </w:rPr>
              <w:tab/>
            </w:r>
            <w:r>
              <w:rPr>
                <w:rFonts w:cs="SPD TheSans"/>
              </w:rPr>
            </w:r>
            <w:r>
              <w:rPr>
                <w:rFonts w:cs="SPD TheSans"/>
              </w:rPr>
            </w:r>
          </w:p>
          <w:p w14:paraId="4450EF52" w14:textId="62984E8E">
            <w:pPr>
              <w:pStyle w:val="939"/>
              <w:pBdr/>
              <w:spacing/>
              <w:ind/>
              <w:rPr>
                <w:rFonts w:cs="SPD TheSans"/>
                <w:sz w:val="28"/>
                <w:szCs w:val="28"/>
              </w:rPr>
            </w:pPr>
            <w:r/>
            <w:bookmarkStart w:id="98" w:name="_Toc16"/>
            <w:r>
              <w:rPr>
                <w:rFonts w:eastAsia="SPD TheSans" w:cs="SPD TheSans"/>
                <w:sz w:val="28"/>
                <w:szCs w:val="28"/>
              </w:rPr>
              <w:t xml:space="preserve">Impressum:</w:t>
            </w:r>
            <w:r/>
            <w:bookmarkEnd w:id="98"/>
            <w:r/>
            <w:r>
              <w:rPr>
                <w:rFonts w:cs="SPD TheSans"/>
                <w:sz w:val="28"/>
                <w:szCs w:val="28"/>
              </w:rPr>
            </w:r>
          </w:p>
          <w:p w14:paraId="61F9015C" w14:textId="77777777">
            <w:pPr>
              <w:pBdr/>
              <w:spacing/>
              <w:ind/>
              <w:rPr>
                <w:rFonts w:cs="SPD TheSans"/>
              </w:rPr>
            </w:pPr>
            <w:r>
              <w:rPr>
                <w:rFonts w:eastAsia="SPD TheSans" w:cs="SPD TheSans"/>
              </w:rPr>
              <w:t xml:space="preserve">Arbeitsgemeinschaft Selbst Aktiv</w:t>
            </w:r>
            <w:r>
              <w:rPr>
                <w:rFonts w:cs="SPD TheSans"/>
              </w:rPr>
            </w:r>
            <w:r>
              <w:rPr>
                <w:rFonts w:cs="SPD TheSans"/>
              </w:rPr>
            </w:r>
          </w:p>
          <w:p w14:paraId="6ACD09A5" w14:textId="54154A67">
            <w:pPr>
              <w:pBdr/>
              <w:spacing/>
              <w:ind/>
              <w:rPr>
                <w:rFonts w:cs="SPD TheSans"/>
              </w:rPr>
            </w:pPr>
            <w:r>
              <w:rPr>
                <w:rFonts w:eastAsia="SPD TheSans" w:cs="SPD TheSans"/>
              </w:rPr>
              <w:t xml:space="preserve">vertreten durch die Bundes-CO-Vorsitzenden Karl Finke und Katrin </w:t>
            </w:r>
            <w:r>
              <w:rPr>
                <w:rFonts w:eastAsia="SPD TheSans" w:cs="SPD TheSans"/>
              </w:rPr>
              <w:t xml:space="preserve">Gensecke</w:t>
            </w:r>
            <w:r>
              <w:rPr>
                <w:rFonts w:eastAsia="SPD TheSans" w:cs="SPD TheSans"/>
              </w:rPr>
              <w:t xml:space="preserve">, Wilhelmstraße 141, 10963 Berlin</w:t>
            </w:r>
            <w:r>
              <w:rPr>
                <w:rFonts w:cs="SPD TheSans"/>
              </w:rPr>
            </w:r>
            <w:r>
              <w:rPr>
                <w:rFonts w:cs="SPD TheSans"/>
              </w:rPr>
            </w:r>
          </w:p>
          <w:p w14:paraId="56F7F4F4" w14:textId="77777777">
            <w:pPr>
              <w:pBdr/>
              <w:spacing/>
              <w:ind/>
              <w:rPr>
                <w:rFonts w:cs="SPD TheSans"/>
              </w:rPr>
            </w:pPr>
            <w:r>
              <w:rPr>
                <w:rFonts w:eastAsia="SPD TheSans" w:cs="SPD TheSans"/>
              </w:rPr>
              <w:t xml:space="preserve">Telefon: 030 - 25991-0</w:t>
            </w:r>
            <w:r>
              <w:rPr>
                <w:rFonts w:cs="SPD TheSans"/>
              </w:rPr>
            </w:r>
            <w:r>
              <w:rPr>
                <w:rFonts w:cs="SPD TheSans"/>
              </w:rPr>
            </w:r>
          </w:p>
          <w:p w14:paraId="361FD0AB" w14:textId="77777777">
            <w:pPr>
              <w:pBdr/>
              <w:spacing/>
              <w:ind/>
              <w:rPr>
                <w:rFonts w:cs="SPD TheSans"/>
              </w:rPr>
            </w:pPr>
            <w:r>
              <w:rPr>
                <w:rFonts w:eastAsia="SPD TheSans" w:cs="SPD TheSans"/>
              </w:rPr>
              <w:t xml:space="preserve">Mail: </w:t>
            </w:r>
            <w:hyperlink r:id="rId23" w:tooltip="mailto:selbstaktiv@spd.de" w:history="1">
              <w:r>
                <w:rPr>
                  <w:rStyle w:val="930"/>
                  <w:rFonts w:eastAsia="SPD TheSans" w:cs="SPD TheSans"/>
                </w:rPr>
                <w:t xml:space="preserve">selbstaktiv@spd.de</w:t>
              </w:r>
            </w:hyperlink>
            <w:r>
              <w:rPr>
                <w:rFonts w:cs="SPD TheSans"/>
              </w:rPr>
            </w:r>
            <w:r>
              <w:rPr>
                <w:rFonts w:cs="SPD TheSans"/>
              </w:rPr>
            </w:r>
          </w:p>
          <w:p w14:paraId="7D94EDA3" w14:textId="77777777">
            <w:pPr>
              <w:pBdr/>
              <w:spacing/>
              <w:ind/>
              <w:rPr>
                <w:rFonts w:cs="SPD TheSans"/>
              </w:rPr>
            </w:pPr>
            <w:r>
              <w:rPr>
                <w:rFonts w:cs="SPD TheSans"/>
              </w:rPr>
            </w:r>
            <w:r>
              <w:rPr>
                <w:rFonts w:cs="SPD TheSans"/>
              </w:rPr>
            </w:r>
            <w:r>
              <w:rPr>
                <w:rFonts w:cs="SPD TheSans"/>
              </w:rPr>
            </w:r>
          </w:p>
          <w:p w14:paraId="7B5A551E" w14:textId="30C7DACD">
            <w:pPr>
              <w:pBdr/>
              <w:spacing/>
              <w:ind/>
              <w:rPr>
                <w:rFonts w:cs="SPD TheSans"/>
              </w:rPr>
            </w:pPr>
            <w:r>
              <w:rPr>
                <w:rFonts w:eastAsia="SPD TheSans" w:cs="SPD TheSans"/>
                <w:b/>
                <w:bCs/>
              </w:rPr>
              <w:t xml:space="preserve">Redaktion:</w:t>
            </w:r>
            <w:r>
              <w:rPr>
                <w:rFonts w:eastAsia="SPD TheSans" w:cs="SPD TheSans"/>
              </w:rPr>
              <w:t xml:space="preserve"> Udo Schmidt, Katrin </w:t>
            </w:r>
            <w:r>
              <w:rPr>
                <w:rFonts w:eastAsia="SPD TheSans" w:cs="SPD TheSans"/>
              </w:rPr>
              <w:t xml:space="preserve">Gensecke</w:t>
            </w:r>
            <w:r>
              <w:rPr>
                <w:rFonts w:eastAsia="SPD TheSans" w:cs="SPD TheSans"/>
              </w:rPr>
              <w:t xml:space="preserve">, Karl Finke, Thomas Koch. </w:t>
            </w:r>
            <w:r>
              <w:rPr>
                <w:rFonts w:eastAsia="SPD TheSans" w:cs="SPD TheSans"/>
              </w:rPr>
              <w:br/>
              <w:t xml:space="preserve">Mail: </w:t>
            </w:r>
            <w:hyperlink r:id="rId24" w:tooltip="mailto:kurier@selbstaktiv.de" w:history="1">
              <w:r>
                <w:rPr>
                  <w:rStyle w:val="930"/>
                  <w:rFonts w:eastAsia="SPD TheSans" w:cs="SPD TheSans"/>
                </w:rPr>
                <w:t xml:space="preserve">kurier@selbstaktiv.de</w:t>
              </w:r>
            </w:hyperlink>
            <w:r>
              <w:rPr>
                <w:rFonts w:cs="SPD TheSans"/>
              </w:rPr>
            </w:r>
            <w:r>
              <w:rPr>
                <w:rFonts w:cs="SPD TheSans"/>
              </w:rPr>
            </w:r>
          </w:p>
          <w:p w14:paraId="556D7063" w14:textId="5DDE6E99">
            <w:pPr>
              <w:pBdr/>
              <w:spacing/>
              <w:ind/>
              <w:rPr>
                <w:rFonts w:cs="SPD TheSans"/>
              </w:rPr>
            </w:pPr>
            <w:r>
              <w:rPr>
                <w:rFonts w:eastAsia="SPD TheSans" w:cs="SPD TheSans"/>
                <w:b/>
                <w:bCs/>
              </w:rPr>
              <w:t xml:space="preserve">Korrekturen:</w:t>
            </w:r>
            <w:r>
              <w:rPr>
                <w:rFonts w:eastAsia="SPD TheSans" w:cs="SPD TheSans"/>
              </w:rPr>
              <w:t xml:space="preserve"> Heike </w:t>
            </w:r>
            <w:r>
              <w:rPr>
                <w:rFonts w:eastAsia="SPD TheSans" w:cs="SPD TheSans"/>
              </w:rPr>
              <w:t xml:space="preserve">Treffan</w:t>
            </w:r>
            <w:r>
              <w:rPr>
                <w:rFonts w:eastAsia="SPD TheSans" w:cs="SPD TheSans"/>
              </w:rPr>
              <w:t xml:space="preserve">.</w:t>
            </w:r>
            <w:r>
              <w:rPr>
                <w:rFonts w:eastAsia="SPD TheSans" w:cs="SPD TheSans"/>
              </w:rPr>
              <w:br/>
              <w:t xml:space="preserve">Namentlich gekennzeichnete Beiträge geben den Inhalt des Verfassers oder der Verfasserin wieder und nicht immer die Meinung des Anbieters.</w:t>
            </w:r>
            <w:r>
              <w:rPr>
                <w:rFonts w:eastAsia="SPD TheSans" w:cs="SPD TheSans"/>
              </w:rPr>
              <w:br/>
              <w:t xml:space="preserve">----------------------------------------------------------------------------------------------------</w:t>
            </w:r>
            <w:r>
              <w:rPr>
                <w:rFonts w:eastAsia="SPD TheSans" w:cs="SPD TheSans"/>
              </w:rPr>
              <w:br/>
              <w:t xml:space="preserve">Der</w:t>
            </w:r>
            <w:r>
              <w:rPr>
                <w:rFonts w:eastAsia="SPD TheSans" w:cs="SPD TheSans"/>
                <w:b/>
                <w:bCs/>
                <w:i/>
                <w:iCs/>
              </w:rPr>
              <w:t xml:space="preserve"> </w:t>
            </w:r>
            <w:r>
              <w:rPr>
                <w:rFonts w:eastAsia="SPD TheSans" w:cs="SPD TheSans"/>
                <w:b/>
                <w:bCs/>
              </w:rPr>
              <w:t xml:space="preserve">Kurier</w:t>
            </w:r>
            <w:r>
              <w:rPr>
                <w:rFonts w:eastAsia="SPD TheSans" w:cs="SPD TheSans"/>
              </w:rPr>
              <w:t xml:space="preserve"> erscheint quartalsmäßig. Redaktionsschluss ist jeweils der letzte Arbeitstag im Vor-Quartal. </w:t>
            </w:r>
            <w:r>
              <w:rPr>
                <w:rFonts w:cs="SPD TheSans"/>
              </w:rPr>
            </w:r>
            <w:r>
              <w:rPr>
                <w:rFonts w:cs="SPD TheSans"/>
              </w:rPr>
            </w:r>
          </w:p>
          <w:p w14:paraId="627D6EA3" w14:textId="0A19DC02">
            <w:pPr>
              <w:pBdr/>
              <w:spacing/>
              <w:ind/>
              <w:rPr>
                <w:rFonts w:cs="SPD TheSans"/>
              </w:rPr>
            </w:pPr>
            <w:r>
              <w:rPr>
                <w:rFonts w:eastAsia="SPD TheSans" w:cs="SPD TheSans"/>
              </w:rPr>
              <w:t xml:space="preserve">Für den Bereich „</w:t>
            </w:r>
            <w:bookmarkStart w:id="82" w:name="_Hlk115101251"/>
            <w:r>
              <w:rPr>
                <w:rFonts w:eastAsia="SPD TheSans" w:cs="SPD TheSans"/>
              </w:rPr>
              <w:t xml:space="preserve">Infos und Termine aus den Bezirken und Bundesländern</w:t>
            </w:r>
            <w:bookmarkEnd w:id="82"/>
            <w:r>
              <w:rPr>
                <w:rFonts w:eastAsia="SPD TheSans" w:cs="SPD TheSans"/>
              </w:rPr>
              <w:t xml:space="preserve">“ bitten wir um Beiträge, die einen bundesweiten Bezug oder nationale Relevanz haben. Wir behalten uns vor, eingereichte Texte redaktionell zu bearbeiten und ggf. zu kürzen. Auf ein Feedback freuen wir uns.</w:t>
            </w:r>
            <w:r>
              <w:rPr>
                <w:rFonts w:cs="SPD TheSans"/>
              </w:rPr>
            </w:r>
            <w:r>
              <w:rPr>
                <w:rFonts w:cs="SPD TheSans"/>
              </w:rPr>
            </w:r>
          </w:p>
          <w:p w14:paraId="010A59E8" w14:textId="2EAA41DA">
            <w:pPr>
              <w:pBdr/>
              <w:spacing/>
              <w:ind/>
              <w:rPr>
                <w:rFonts w:cs="SPD TheSans"/>
              </w:rPr>
            </w:pPr>
            <w:r>
              <w:rPr>
                <w:rFonts w:eastAsia="SPD TheSans" w:cs="SPD TheSans"/>
              </w:rPr>
              <w:t xml:space="preserve">----------------------------------------------------------------------------------------------------</w:t>
            </w:r>
            <w:r>
              <w:rPr>
                <w:rFonts w:cs="SPD TheSans"/>
              </w:rPr>
            </w:r>
            <w:r>
              <w:rPr>
                <w:rFonts w:cs="SPD TheSans"/>
              </w:rPr>
            </w:r>
          </w:p>
          <w:p w14:paraId="0527C1F9" w14:textId="77777777">
            <w:pPr>
              <w:pBdr/>
              <w:spacing/>
              <w:ind/>
              <w:rPr>
                <w:rFonts w:cs="SPD TheSans"/>
              </w:rPr>
            </w:pPr>
            <w:r>
              <w:rPr>
                <w:rFonts w:eastAsia="SPD TheSans" w:cs="SPD TheSans"/>
              </w:rPr>
              <w:t xml:space="preserve">Selbst Aktiv Bundesvorstand im Internet und den </w:t>
            </w:r>
            <w:r>
              <w:rPr>
                <w:rFonts w:eastAsia="SPD TheSans" w:cs="SPD TheSans"/>
              </w:rPr>
              <w:t xml:space="preserve">social</w:t>
            </w:r>
            <w:r>
              <w:rPr>
                <w:rFonts w:eastAsia="SPD TheSans" w:cs="SPD TheSans"/>
              </w:rPr>
              <w:t xml:space="preserve"> Media:</w:t>
            </w:r>
            <w:r>
              <w:rPr>
                <w:rFonts w:cs="SPD TheSans"/>
              </w:rPr>
            </w:r>
            <w:r>
              <w:rPr>
                <w:rFonts w:cs="SPD TheSans"/>
              </w:rPr>
            </w:r>
          </w:p>
          <w:p w14:paraId="614912C5" w14:textId="2BF6EC7B">
            <w:pPr>
              <w:pBdr/>
              <w:spacing/>
              <w:ind/>
              <w:rPr>
                <w:rFonts w:cs="SPD TheSans"/>
              </w:rPr>
            </w:pPr>
            <w:r>
              <w:rPr>
                <w:rFonts w:eastAsia="SPD TheSans" w:cs="SPD TheSans"/>
              </w:rPr>
              <w:t xml:space="preserve">Web: </w:t>
            </w:r>
            <w:r>
              <w:rPr>
                <w:rFonts w:eastAsia="SPD TheSans" w:cs="SPD TheSans"/>
              </w:rPr>
              <w:tab/>
            </w:r>
            <w:r>
              <w:rPr>
                <w:rFonts w:eastAsia="SPD TheSans" w:cs="SPD TheSans"/>
              </w:rPr>
              <w:tab/>
            </w:r>
            <w:hyperlink r:id="rId25" w:tooltip="https://selbstaktiv.spd.de" w:history="1">
              <w:r>
                <w:rPr>
                  <w:rStyle w:val="930"/>
                  <w:rFonts w:eastAsia="SPD TheSans" w:cs="SPD TheSans"/>
                  <w14:ligatures w14:val="standardContextual"/>
                </w:rPr>
                <w:t xml:space="preserve">https://selbstaktiv.spd.de</w:t>
              </w:r>
            </w:hyperlink>
            <w:r>
              <w:rPr>
                <w:rFonts w:cs="SPD TheSans"/>
              </w:rPr>
            </w:r>
            <w:r>
              <w:rPr>
                <w:rFonts w:cs="SPD TheSans"/>
              </w:rPr>
            </w:r>
          </w:p>
          <w:p w14:paraId="4B62066F" w14:textId="77777777">
            <w:pPr>
              <w:pBdr/>
              <w:spacing/>
              <w:ind/>
              <w:rPr>
                <w:rFonts w:cs="SPD TheSans"/>
              </w:rPr>
            </w:pPr>
            <w:r>
              <w:rPr>
                <w:rFonts w:eastAsia="SPD TheSans" w:cs="SPD TheSans"/>
              </w:rPr>
              <w:t xml:space="preserve">Facebook:</w:t>
            </w:r>
            <w:r>
              <w:rPr>
                <w:rFonts w:eastAsia="SPD TheSans" w:cs="SPD TheSans"/>
              </w:rPr>
              <w:tab/>
            </w:r>
            <w:hyperlink r:id="rId26" w:tooltip="https://www.facebook.com/SelbstAktivBuVo" w:history="1">
              <w:r>
                <w:rPr>
                  <w:rStyle w:val="930"/>
                  <w:rFonts w:eastAsia="SPD TheSans" w:cs="SPD TheSans"/>
                </w:rPr>
                <w:t xml:space="preserve">https://www.facebook.com/SelbstAktivBuVo</w:t>
              </w:r>
            </w:hyperlink>
            <w:r>
              <w:rPr>
                <w:rFonts w:cs="SPD TheSans"/>
              </w:rPr>
            </w:r>
            <w:r>
              <w:rPr>
                <w:rFonts w:cs="SPD TheSans"/>
              </w:rPr>
            </w:r>
          </w:p>
          <w:p w14:paraId="60505F80" w14:textId="77777777">
            <w:pPr>
              <w:pBdr/>
              <w:spacing/>
              <w:ind/>
              <w:rPr>
                <w:rFonts w:cs="SPD TheSans"/>
              </w:rPr>
            </w:pPr>
            <w:r>
              <w:rPr>
                <w:rFonts w:eastAsia="SPD TheSans" w:cs="SPD TheSans"/>
              </w:rPr>
              <w:t xml:space="preserve">Instagram:</w:t>
            </w:r>
            <w:r>
              <w:rPr>
                <w:rFonts w:eastAsia="SPD TheSans" w:cs="SPD TheSans"/>
              </w:rPr>
              <w:tab/>
            </w:r>
            <w:hyperlink r:id="rId27" w:tooltip="https://www.instagram.com/selbst_aktiv_bundesvorstand/" w:history="1">
              <w:r>
                <w:rPr>
                  <w:rStyle w:val="930"/>
                  <w:rFonts w:eastAsia="SPD TheSans" w:cs="SPD TheSans"/>
                </w:rPr>
                <w:t xml:space="preserve">https://www.instagram.com/selbst_aktiv_bundesvorstand/</w:t>
              </w:r>
            </w:hyperlink>
            <w:r>
              <w:rPr>
                <w:rFonts w:cs="SPD TheSans"/>
              </w:rPr>
            </w:r>
            <w:r>
              <w:rPr>
                <w:rFonts w:cs="SPD TheSans"/>
              </w:rPr>
            </w:r>
          </w:p>
          <w:p w14:paraId="066CAD49" w14:textId="77777777">
            <w:pPr>
              <w:pBdr/>
              <w:spacing/>
              <w:ind/>
              <w:rPr>
                <w:rFonts w:cs="SPD TheSans"/>
              </w:rPr>
            </w:pPr>
            <w:r>
              <w:rPr>
                <w:rFonts w:cs="SPD TheSans"/>
              </w:rPr>
            </w:r>
            <w:r>
              <w:rPr>
                <w:rFonts w:cs="SPD TheSans"/>
              </w:rPr>
            </w:r>
            <w:r>
              <w:rPr>
                <w:rFonts w:cs="SPD TheSans"/>
              </w:rPr>
            </w:r>
          </w:p>
        </w:tc>
      </w:tr>
    </w:tbl>
    <w:p w14:paraId="4F6F8FA7" w14:textId="77777777">
      <w:pPr>
        <w:pBdr/>
        <w:spacing/>
        <w:ind/>
        <w:rPr>
          <w:rFonts w:cs="SPD TheSans"/>
        </w:rPr>
      </w:pPr>
      <w:r>
        <w:rPr>
          <w:rFonts w:cs="SPD TheSans"/>
        </w:rPr>
      </w:r>
      <w:r>
        <w:rPr>
          <w:rFonts w:cs="SPD TheSans"/>
        </w:rPr>
      </w:r>
      <w:r>
        <w:rPr>
          <w:rFonts w:cs="SPD TheSans"/>
        </w:rPr>
      </w:r>
    </w:p>
    <w:sectPr>
      <w:headerReference w:type="default" r:id="rId10"/>
      <w:footerReference w:type="default" r:id="rId11"/>
      <w:footnotePr/>
      <w:endnotePr/>
      <w:type w:val="nextPage"/>
      <w:pgSz w:h="16838" w:orient="portrait" w:w="11906"/>
      <w:pgMar w:top="1134" w:right="1417" w:bottom="822" w:left="1417" w:header="708" w:footer="234"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3F0678A9" w14:textId="77777777">
      <w:pPr>
        <w:pBdr/>
        <w:spacing/>
        <w:ind/>
        <w:rPr/>
      </w:pPr>
      <w:r>
        <w:separator/>
      </w:r>
      <w:r/>
    </w:p>
  </w:endnote>
  <w:endnote w:type="continuationSeparator" w:id="0">
    <w:p w14:paraId="6D3A415F" w14:textId="77777777">
      <w:pPr>
        <w:pBdr/>
        <w:spacing/>
        <w:ind/>
        <w:rPr/>
      </w:pPr>
      <w:r>
        <w:continuationSeparator/>
      </w:r>
      <w:r/>
    </w:p>
  </w:endnote>
  <w:endnote w:type="continuationNotice" w:id="1">
    <w:p w14:paraId="4133A44C" w14:textId="77777777">
      <w:pPr>
        <w:pBdr/>
        <w:spacing w:after="0" w:line="240" w:lineRule="auto"/>
        <w:ind/>
        <w:rPr/>
      </w:pP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00603000000000000"/>
  </w:font>
  <w:font w:name="Courier New">
    <w:panose1 w:val="02070309020205020404"/>
  </w:font>
  <w:font w:name="Symbol">
    <w:panose1 w:val="05010000000000000000"/>
  </w:font>
  <w:font w:name="Helvetica Neue">
    <w:panose1 w:val="05040102010807070707"/>
  </w:font>
  <w:font w:name="Arial Unicode MS">
    <w:panose1 w:val="020B0604020202020204"/>
  </w:font>
  <w:font w:name="Arial">
    <w:panose1 w:val="020B0604020202020204"/>
  </w:font>
  <w:font w:name="Wingdings">
    <w:panose1 w:val="05010000000000000000"/>
  </w:font>
  <w:font w:name="SPD TheSans">
    <w:panose1 w:val="020B0502050302020203"/>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48A50A8" w14:textId="77777777">
    <w:pPr>
      <w:pStyle w:val="945"/>
      <w:pBdr/>
      <w:spacing/>
      <w:ind/>
      <w:jc w:val="right"/>
      <w:rPr>
        <w:bCs/>
        <w:i/>
        <w:sz w:val="24"/>
        <w:szCs w:val="24"/>
      </w:rPr>
    </w:pPr>
    <w:r>
      <w:rPr>
        <w:i/>
        <w:iCs/>
        <w:sz w:val="24"/>
        <w:szCs w:val="24"/>
      </w:rPr>
      <w:t xml:space="preserve">Selbst Aktiv Kurier - Seite </w:t>
    </w:r>
    <w:r>
      <w:fldChar w:fldCharType="begin"/>
    </w:r>
    <w:r>
      <w:instrText xml:space="preserve">PAGE \* MERGEFORMAT</w:instrText>
    </w:r>
    <w:r>
      <w:fldChar w:fldCharType="separate"/>
    </w:r>
    <w:r>
      <w:rPr>
        <w:i/>
        <w:iCs/>
        <w:sz w:val="24"/>
        <w:szCs w:val="24"/>
      </w:rPr>
      <w:t xml:space="preserve">1</w:t>
    </w:r>
    <w:r>
      <w:fldChar w:fldCharType="end"/>
    </w:r>
    <w:r>
      <w:rPr>
        <w:bCs/>
        <w:i/>
        <w:sz w:val="24"/>
        <w:szCs w:val="24"/>
      </w:rPr>
    </w:r>
    <w:r>
      <w:rPr>
        <w:bCs/>
        <w:i/>
        <w:sz w:val="24"/>
        <w:szCs w:val="24"/>
      </w:rPr>
    </w:r>
  </w:p>
  <w:p w14:paraId="0B5CDEC7" w14:textId="77777777">
    <w:pPr>
      <w:pStyle w:val="94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700B8A7E" w14:textId="77777777">
      <w:pPr>
        <w:pBdr/>
        <w:spacing/>
        <w:ind/>
        <w:rPr/>
      </w:pPr>
      <w:r>
        <w:separator/>
      </w:r>
      <w:r/>
    </w:p>
  </w:footnote>
  <w:footnote w:type="continuationSeparator" w:id="0">
    <w:p w14:paraId="249D0550" w14:textId="77777777">
      <w:pPr>
        <w:pBdr/>
        <w:spacing/>
        <w:ind/>
        <w:rPr/>
      </w:pPr>
      <w:r>
        <w:continuationSeparator/>
      </w:r>
      <w:r/>
    </w:p>
  </w:footnote>
  <w:footnote w:type="continuationNotice" w:id="1">
    <w:p w14:paraId="08ED865D" w14:textId="77777777">
      <w:pPr>
        <w:pBdr/>
        <w:spacing w:after="0" w:line="240" w:lineRule="auto"/>
        <w:ind/>
        <w:rPr/>
      </w:pP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67A3474" w14:textId="77777777">
    <w:pPr>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1C490"/>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
    <w:nsid w:val="1044F196"/>
    <w:lvl w:ilvl="0">
      <w:isLgl w:val="false"/>
      <w:lvlJc w:val="left"/>
      <w:lvlText w:val="%1."/>
      <w:numFmt w:val="decimal"/>
      <w:pPr>
        <w:pBdr/>
        <w:spacing/>
        <w:ind w:hanging="360" w:left="360"/>
      </w:pPr>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2">
    <w:nsid w:val="186AA3CC"/>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
    <w:nsid w:val="2BBDEA6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
    <w:nsid w:val="4C540B9D"/>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5">
    <w:nsid w:val="5CFD7C64"/>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6">
    <w:nsid w:val="6199C9A7"/>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6"/>
  </w:num>
  <w:num w:numId="2">
    <w:abstractNumId w:val="0"/>
  </w:num>
  <w:num w:numId="3">
    <w:abstractNumId w:val="2"/>
  </w:num>
  <w:num w:numId="4">
    <w:abstractNumId w:val="5"/>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 w:id="1"/>
  </w:footnotePr>
  <w:endnotePr>
    <w:pos w:val="docEnd"/>
    <w:numFmt w:val="lowerRoman"/>
    <w:numStart w:val="1"/>
    <w:numRestart w:val="continuous"/>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de-DE"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64" w:default="1">
    <w:name w:val="Normal"/>
    <w:qFormat/>
    <w:pPr>
      <w:pBdr/>
      <w:spacing/>
      <w:ind/>
    </w:pPr>
    <w:rPr>
      <w:rFonts w:ascii="SPD TheSans" w:hAnsi="SPD TheSans"/>
      <w:sz w:val="28"/>
      <w:szCs w:val="28"/>
    </w:rPr>
  </w:style>
  <w:style w:type="paragraph" w:styleId="765">
    <w:name w:val="Heading 1"/>
    <w:basedOn w:val="764"/>
    <w:next w:val="764"/>
    <w:link w:val="938"/>
    <w:uiPriority w:val="9"/>
    <w:qFormat/>
    <w:pPr>
      <w:keepNext w:val="true"/>
      <w:keepLines w:val="true"/>
      <w:pBdr/>
      <w:spacing w:after="0" w:before="240"/>
      <w:ind/>
      <w:outlineLvl w:val="0"/>
    </w:pPr>
    <w:rPr>
      <w:rFonts w:asciiTheme="majorHAnsi" w:hAnsiTheme="majorHAnsi" w:eastAsiaTheme="majorEastAsia" w:cstheme="majorBidi"/>
      <w:color w:val="2f5496" w:themeColor="accent1" w:themeShade="BF"/>
      <w:sz w:val="32"/>
      <w:szCs w:val="32"/>
    </w:rPr>
  </w:style>
  <w:style w:type="paragraph" w:styleId="766">
    <w:name w:val="Heading 2"/>
    <w:basedOn w:val="764"/>
    <w:next w:val="764"/>
    <w:link w:val="952"/>
    <w:uiPriority w:val="9"/>
    <w:unhideWhenUsed/>
    <w:qFormat/>
    <w:pPr>
      <w:keepNext w:val="true"/>
      <w:keepLines w:val="true"/>
      <w:pBdr/>
      <w:spacing w:after="0" w:before="40"/>
      <w:ind/>
      <w:outlineLvl w:val="1"/>
    </w:pPr>
    <w:rPr>
      <w:rFonts w:asciiTheme="majorHAnsi" w:hAnsiTheme="majorHAnsi" w:eastAsiaTheme="majorEastAsia" w:cstheme="majorBidi"/>
      <w:color w:val="2f5496" w:themeColor="accent1" w:themeShade="BF"/>
      <w:sz w:val="26"/>
      <w:szCs w:val="26"/>
    </w:rPr>
  </w:style>
  <w:style w:type="paragraph" w:styleId="767">
    <w:name w:val="Heading 3"/>
    <w:basedOn w:val="764"/>
    <w:next w:val="764"/>
    <w:link w:val="953"/>
    <w:uiPriority w:val="9"/>
    <w:unhideWhenUsed/>
    <w:qFormat/>
    <w:pPr>
      <w:keepNext w:val="true"/>
      <w:keepLines w:val="true"/>
      <w:pBdr/>
      <w:spacing w:after="0" w:before="40"/>
      <w:ind/>
      <w:outlineLvl w:val="2"/>
    </w:pPr>
    <w:rPr>
      <w:rFonts w:asciiTheme="majorHAnsi" w:hAnsiTheme="majorHAnsi" w:eastAsiaTheme="majorEastAsia" w:cstheme="majorBidi"/>
      <w:color w:val="1f3763"/>
      <w:sz w:val="24"/>
      <w:szCs w:val="24"/>
    </w:rPr>
  </w:style>
  <w:style w:type="paragraph" w:styleId="768">
    <w:name w:val="Heading 4"/>
    <w:basedOn w:val="764"/>
    <w:next w:val="764"/>
    <w:link w:val="954"/>
    <w:uiPriority w:val="9"/>
    <w:unhideWhenUsed/>
    <w:qFormat/>
    <w:pPr>
      <w:keepNext w:val="true"/>
      <w:keepLines w:val="true"/>
      <w:pBdr/>
      <w:spacing w:after="0" w:before="40"/>
      <w:ind/>
      <w:outlineLvl w:val="3"/>
    </w:pPr>
    <w:rPr>
      <w:rFonts w:asciiTheme="majorHAnsi" w:hAnsiTheme="majorHAnsi" w:eastAsiaTheme="majorEastAsia" w:cstheme="majorBidi"/>
      <w:i/>
      <w:iCs/>
      <w:color w:val="2f5496" w:themeColor="accent1" w:themeShade="BF"/>
    </w:rPr>
  </w:style>
  <w:style w:type="paragraph" w:styleId="769">
    <w:name w:val="Heading 5"/>
    <w:basedOn w:val="764"/>
    <w:next w:val="764"/>
    <w:link w:val="955"/>
    <w:uiPriority w:val="9"/>
    <w:unhideWhenUsed/>
    <w:qFormat/>
    <w:pPr>
      <w:keepNext w:val="true"/>
      <w:keepLines w:val="true"/>
      <w:pBdr/>
      <w:spacing w:after="0" w:before="40"/>
      <w:ind/>
      <w:outlineLvl w:val="4"/>
    </w:pPr>
    <w:rPr>
      <w:rFonts w:asciiTheme="majorHAnsi" w:hAnsiTheme="majorHAnsi" w:eastAsiaTheme="majorEastAsia" w:cstheme="majorBidi"/>
      <w:color w:val="2f5496" w:themeColor="accent1" w:themeShade="BF"/>
    </w:rPr>
  </w:style>
  <w:style w:type="paragraph" w:styleId="770">
    <w:name w:val="Heading 6"/>
    <w:basedOn w:val="764"/>
    <w:next w:val="764"/>
    <w:link w:val="956"/>
    <w:uiPriority w:val="9"/>
    <w:unhideWhenUsed/>
    <w:qFormat/>
    <w:pPr>
      <w:keepNext w:val="true"/>
      <w:keepLines w:val="true"/>
      <w:pBdr/>
      <w:spacing w:after="0" w:before="40"/>
      <w:ind/>
      <w:outlineLvl w:val="5"/>
    </w:pPr>
    <w:rPr>
      <w:rFonts w:asciiTheme="majorHAnsi" w:hAnsiTheme="majorHAnsi" w:eastAsiaTheme="majorEastAsia" w:cstheme="majorBidi"/>
      <w:color w:val="1f3763"/>
    </w:rPr>
  </w:style>
  <w:style w:type="paragraph" w:styleId="771">
    <w:name w:val="Heading 7"/>
    <w:basedOn w:val="764"/>
    <w:next w:val="764"/>
    <w:link w:val="957"/>
    <w:uiPriority w:val="9"/>
    <w:unhideWhenUsed/>
    <w:qFormat/>
    <w:pPr>
      <w:keepNext w:val="true"/>
      <w:keepLines w:val="true"/>
      <w:pBdr/>
      <w:spacing w:after="0" w:before="40"/>
      <w:ind/>
      <w:outlineLvl w:val="6"/>
    </w:pPr>
    <w:rPr>
      <w:rFonts w:asciiTheme="majorHAnsi" w:hAnsiTheme="majorHAnsi" w:eastAsiaTheme="majorEastAsia" w:cstheme="majorBidi"/>
      <w:i/>
      <w:iCs/>
      <w:color w:val="1f3763"/>
    </w:rPr>
  </w:style>
  <w:style w:type="paragraph" w:styleId="772">
    <w:name w:val="Heading 8"/>
    <w:basedOn w:val="764"/>
    <w:next w:val="764"/>
    <w:link w:val="958"/>
    <w:uiPriority w:val="9"/>
    <w:unhideWhenUsed/>
    <w:qFormat/>
    <w:pPr>
      <w:keepNext w:val="true"/>
      <w:keepLines w:val="true"/>
      <w:pBdr/>
      <w:spacing w:after="0" w:before="40"/>
      <w:ind/>
      <w:outlineLvl w:val="7"/>
    </w:pPr>
    <w:rPr>
      <w:rFonts w:asciiTheme="majorHAnsi" w:hAnsiTheme="majorHAnsi" w:eastAsiaTheme="majorEastAsia" w:cstheme="majorBidi"/>
      <w:color w:val="272727"/>
      <w:sz w:val="21"/>
      <w:szCs w:val="21"/>
    </w:rPr>
  </w:style>
  <w:style w:type="paragraph" w:styleId="773">
    <w:name w:val="Heading 9"/>
    <w:basedOn w:val="764"/>
    <w:next w:val="764"/>
    <w:link w:val="959"/>
    <w:uiPriority w:val="9"/>
    <w:unhideWhenUsed/>
    <w:qFormat/>
    <w:pPr>
      <w:keepNext w:val="true"/>
      <w:keepLines w:val="true"/>
      <w:pBdr/>
      <w:spacing w:after="0" w:before="40"/>
      <w:ind/>
      <w:outlineLvl w:val="8"/>
    </w:pPr>
    <w:rPr>
      <w:rFonts w:asciiTheme="majorHAnsi" w:hAnsiTheme="majorHAnsi" w:eastAsiaTheme="majorEastAsia" w:cstheme="majorBidi"/>
      <w:i/>
      <w:iCs/>
      <w:color w:val="272727"/>
      <w:sz w:val="21"/>
      <w:szCs w:val="21"/>
    </w:rPr>
  </w:style>
  <w:style w:type="character" w:styleId="774" w:default="1">
    <w:name w:val="Default Paragraph Font"/>
    <w:uiPriority w:val="1"/>
    <w:semiHidden/>
    <w:unhideWhenUsed/>
    <w:pPr>
      <w:pBdr/>
      <w:spacing/>
      <w:ind/>
    </w:pPr>
  </w:style>
  <w:style w:type="table" w:styleId="77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76" w:default="1">
    <w:name w:val="No List"/>
    <w:uiPriority w:val="99"/>
    <w:semiHidden/>
    <w:unhideWhenUsed/>
    <w:pPr>
      <w:pBdr/>
      <w:spacing/>
      <w:ind/>
    </w:pPr>
  </w:style>
  <w:style w:type="table" w:styleId="777" w:customStyle="1">
    <w:name w:val="Table Grid Light"/>
    <w:basedOn w:val="77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Plain Table 1"/>
    <w:basedOn w:val="77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Plain Table 2"/>
    <w:basedOn w:val="77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Plain Table 3"/>
    <w:basedOn w:val="77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Plain Table 4"/>
    <w:basedOn w:val="77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Plain Table 5"/>
    <w:basedOn w:val="77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1 Light"/>
    <w:basedOn w:val="77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customStyle="1">
    <w:name w:val="Grid Table 1 Light - Accent 1"/>
    <w:basedOn w:val="775"/>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customStyle="1">
    <w:name w:val="Grid Table 1 Light - Accent 2"/>
    <w:basedOn w:val="775"/>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customStyle="1">
    <w:name w:val="Grid Table 1 Light - Accent 3"/>
    <w:basedOn w:val="775"/>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customStyle="1">
    <w:name w:val="Grid Table 1 Light - Accent 4"/>
    <w:basedOn w:val="775"/>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customStyle="1">
    <w:name w:val="Grid Table 1 Light - Accent 5"/>
    <w:basedOn w:val="775"/>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customStyle="1">
    <w:name w:val="Grid Table 1 Light - Accent 6"/>
    <w:basedOn w:val="775"/>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2"/>
    <w:basedOn w:val="77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customStyle="1">
    <w:name w:val="Grid Table 2 - Accent 1"/>
    <w:basedOn w:val="775"/>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customStyle="1">
    <w:name w:val="Grid Table 2 - Accent 2"/>
    <w:basedOn w:val="775"/>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customStyle="1">
    <w:name w:val="Grid Table 2 - Accent 3"/>
    <w:basedOn w:val="775"/>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customStyle="1">
    <w:name w:val="Grid Table 2 - Accent 4"/>
    <w:basedOn w:val="775"/>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customStyle="1">
    <w:name w:val="Grid Table 2 - Accent 5"/>
    <w:basedOn w:val="775"/>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customStyle="1">
    <w:name w:val="Grid Table 2 - Accent 6"/>
    <w:basedOn w:val="775"/>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3"/>
    <w:basedOn w:val="77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customStyle="1">
    <w:name w:val="Grid Table 3 - Accent 1"/>
    <w:basedOn w:val="775"/>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customStyle="1">
    <w:name w:val="Grid Table 3 - Accent 2"/>
    <w:basedOn w:val="775"/>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customStyle="1">
    <w:name w:val="Grid Table 3 - Accent 3"/>
    <w:basedOn w:val="775"/>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customStyle="1">
    <w:name w:val="Grid Table 3 - Accent 4"/>
    <w:basedOn w:val="775"/>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3 - Accent 5"/>
    <w:basedOn w:val="775"/>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3 - Accent 6"/>
    <w:basedOn w:val="775"/>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4"/>
    <w:basedOn w:val="77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customStyle="1">
    <w:name w:val="Grid Table 4 - Accent 1"/>
    <w:basedOn w:val="775"/>
    <w:uiPriority w:val="5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customStyle="1">
    <w:name w:val="Grid Table 4 - Accent 2"/>
    <w:basedOn w:val="775"/>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Grid Table 4 - Accent 3"/>
    <w:basedOn w:val="775"/>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customStyle="1">
    <w:name w:val="Grid Table 4 - Accent 4"/>
    <w:basedOn w:val="775"/>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Grid Table 4 - Accent 5"/>
    <w:basedOn w:val="775"/>
    <w:uiPriority w:val="5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Grid Table 4 - Accent 6"/>
    <w:basedOn w:val="775"/>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5 Dark"/>
    <w:basedOn w:val="77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customStyle="1">
    <w:name w:val="Grid Table 5 Dark- Accent 1"/>
    <w:basedOn w:val="77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customStyle="1">
    <w:name w:val="Grid Table 5 Dark - Accent 2"/>
    <w:basedOn w:val="77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customStyle="1">
    <w:name w:val="Grid Table 5 Dark - Accent 3"/>
    <w:basedOn w:val="77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customStyle="1">
    <w:name w:val="Grid Table 5 Dark- Accent 4"/>
    <w:basedOn w:val="77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Grid Table 5 Dark - Accent 5"/>
    <w:basedOn w:val="77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Grid Table 5 Dark - Accent 6"/>
    <w:basedOn w:val="77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6 Colorful"/>
    <w:basedOn w:val="77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customStyle="1">
    <w:name w:val="Grid Table 6 Colorful - Accent 1"/>
    <w:basedOn w:val="775"/>
    <w:uiPriority w:val="99"/>
    <w:pPr>
      <w:pBdr/>
      <w:spacing w:after="0" w:line="240" w:lineRule="auto"/>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customStyle="1">
    <w:name w:val="Grid Table 6 Colorful - Accent 2"/>
    <w:basedOn w:val="775"/>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customStyle="1">
    <w:name w:val="Grid Table 6 Colorful - Accent 3"/>
    <w:basedOn w:val="775"/>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customStyle="1">
    <w:name w:val="Grid Table 6 Colorful - Accent 4"/>
    <w:basedOn w:val="775"/>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Grid Table 6 Colorful - Accent 5"/>
    <w:basedOn w:val="775"/>
    <w:uiPriority w:val="99"/>
    <w:pPr>
      <w:pBdr/>
      <w:spacing w:after="0" w:line="240" w:lineRule="auto"/>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Grid Table 6 Colorful - Accent 6"/>
    <w:basedOn w:val="775"/>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7 Colorful"/>
    <w:basedOn w:val="77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Grid Table 7 Colorful - Accent 1"/>
    <w:basedOn w:val="775"/>
    <w:uiPriority w:val="99"/>
    <w:pPr>
      <w:pBdr/>
      <w:spacing w:after="0" w:line="240" w:lineRule="auto"/>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customStyle="1">
    <w:name w:val="Grid Table 7 Colorful - Accent 2"/>
    <w:basedOn w:val="775"/>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Grid Table 7 Colorful - Accent 3"/>
    <w:basedOn w:val="775"/>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Grid Table 7 Colorful - Accent 4"/>
    <w:basedOn w:val="775"/>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Grid Table 7 Colorful - Accent 5"/>
    <w:basedOn w:val="775"/>
    <w:uiPriority w:val="99"/>
    <w:pPr>
      <w:pBdr/>
      <w:spacing w:after="0" w:line="240" w:lineRule="auto"/>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Grid Table 7 Colorful - Accent 6"/>
    <w:basedOn w:val="775"/>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1 Light"/>
    <w:basedOn w:val="77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List Table 1 Light - Accent 1"/>
    <w:basedOn w:val="77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List Table 1 Light - Accent 2"/>
    <w:basedOn w:val="77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List Table 1 Light - Accent 3"/>
    <w:basedOn w:val="77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List Table 1 Light - Accent 4"/>
    <w:basedOn w:val="77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List Table 1 Light - Accent 5"/>
    <w:basedOn w:val="77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List Table 1 Light - Accent 6"/>
    <w:basedOn w:val="77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2"/>
    <w:basedOn w:val="77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List Table 2 - Accent 1"/>
    <w:basedOn w:val="775"/>
    <w:uiPriority w:val="99"/>
    <w:pPr>
      <w:pBdr/>
      <w:spacing w:after="0" w:line="240" w:lineRule="auto"/>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List Table 2 - Accent 2"/>
    <w:basedOn w:val="775"/>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List Table 2 - Accent 3"/>
    <w:basedOn w:val="775"/>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List Table 2 - Accent 4"/>
    <w:basedOn w:val="775"/>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List Table 2 - Accent 5"/>
    <w:basedOn w:val="775"/>
    <w:uiPriority w:val="99"/>
    <w:pPr>
      <w:pBdr/>
      <w:spacing w:after="0" w:line="240" w:lineRule="auto"/>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List Table 2 - Accent 6"/>
    <w:basedOn w:val="775"/>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3"/>
    <w:basedOn w:val="77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List Table 3 - Accent 1"/>
    <w:basedOn w:val="775"/>
    <w:uiPriority w:val="99"/>
    <w:pPr>
      <w:pBdr/>
      <w:spacing w:after="0" w:line="240" w:lineRule="auto"/>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List Table 3 - Accent 2"/>
    <w:basedOn w:val="775"/>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List Table 3 - Accent 3"/>
    <w:basedOn w:val="775"/>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List Table 3 - Accent 4"/>
    <w:basedOn w:val="775"/>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3 - Accent 5"/>
    <w:basedOn w:val="775"/>
    <w:uiPriority w:val="99"/>
    <w:pPr>
      <w:pBdr/>
      <w:spacing w:after="0" w:line="240" w:lineRule="auto"/>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3 - Accent 6"/>
    <w:basedOn w:val="775"/>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4"/>
    <w:basedOn w:val="77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List Table 4 - Accent 1"/>
    <w:basedOn w:val="775"/>
    <w:uiPriority w:val="9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List Table 4 - Accent 2"/>
    <w:basedOn w:val="775"/>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List Table 4 - Accent 3"/>
    <w:basedOn w:val="775"/>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List Table 4 - Accent 4"/>
    <w:basedOn w:val="775"/>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st Table 4 - Accent 5"/>
    <w:basedOn w:val="775"/>
    <w:uiPriority w:val="9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st Table 4 - Accent 6"/>
    <w:basedOn w:val="775"/>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5 Dark"/>
    <w:basedOn w:val="77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List Table 5 Dark - Accent 1"/>
    <w:basedOn w:val="775"/>
    <w:uiPriority w:val="99"/>
    <w:pPr>
      <w:pBdr/>
      <w:spacing w:after="0" w:line="240" w:lineRule="auto"/>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List Table 5 Dark - Accent 2"/>
    <w:basedOn w:val="775"/>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List Table 5 Dark - Accent 3"/>
    <w:basedOn w:val="775"/>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List Table 5 Dark - Accent 4"/>
    <w:basedOn w:val="775"/>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List Table 5 Dark - Accent 5"/>
    <w:basedOn w:val="775"/>
    <w:uiPriority w:val="99"/>
    <w:pPr>
      <w:pBdr/>
      <w:spacing w:after="0" w:line="240" w:lineRule="auto"/>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List Table 5 Dark - Accent 6"/>
    <w:basedOn w:val="775"/>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6 Colorful"/>
    <w:basedOn w:val="77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List Table 6 Colorful - Accent 1"/>
    <w:basedOn w:val="775"/>
    <w:uiPriority w:val="99"/>
    <w:pPr>
      <w:pBdr/>
      <w:spacing w:after="0" w:line="240" w:lineRule="auto"/>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List Table 6 Colorful - Accent 2"/>
    <w:basedOn w:val="775"/>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List Table 6 Colorful - Accent 3"/>
    <w:basedOn w:val="775"/>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List Table 6 Colorful - Accent 4"/>
    <w:basedOn w:val="775"/>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st Table 6 Colorful - Accent 5"/>
    <w:basedOn w:val="775"/>
    <w:uiPriority w:val="99"/>
    <w:pPr>
      <w:pBdr/>
      <w:spacing w:after="0" w:line="240" w:lineRule="auto"/>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st Table 6 Colorful - Accent 6"/>
    <w:basedOn w:val="775"/>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7 Colorful"/>
    <w:basedOn w:val="77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List Table 7 Colorful - Accent 1"/>
    <w:basedOn w:val="775"/>
    <w:uiPriority w:val="99"/>
    <w:pPr>
      <w:pBdr/>
      <w:spacing w:after="0" w:line="240" w:lineRule="auto"/>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List Table 7 Colorful - Accent 2"/>
    <w:basedOn w:val="775"/>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List Table 7 Colorful - Accent 3"/>
    <w:basedOn w:val="775"/>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List Table 7 Colorful - Accent 4"/>
    <w:basedOn w:val="775"/>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st Table 7 Colorful - Accent 5"/>
    <w:basedOn w:val="775"/>
    <w:uiPriority w:val="99"/>
    <w:pPr>
      <w:pBdr/>
      <w:spacing w:after="0" w:line="240" w:lineRule="auto"/>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List Table 7 Colorful - Accent 6"/>
    <w:basedOn w:val="775"/>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Lined - Accent"/>
    <w:basedOn w:val="775"/>
    <w:uiPriority w:val="99"/>
    <w:pPr>
      <w:pBdr/>
      <w:spacing w:after="0" w:line="240" w:lineRule="auto"/>
      <w:ind/>
    </w:pPr>
    <w:rPr>
      <w:color w:val="404040"/>
      <w:sz w:val="20"/>
      <w:szCs w:val="20"/>
      <w:lang w:eastAsia="de-DE"/>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Lined - Accent 1"/>
    <w:basedOn w:val="775"/>
    <w:uiPriority w:val="99"/>
    <w:pPr>
      <w:pBdr/>
      <w:spacing w:after="0" w:line="240" w:lineRule="auto"/>
      <w:ind/>
    </w:pPr>
    <w:rPr>
      <w:color w:val="404040"/>
      <w:sz w:val="20"/>
      <w:szCs w:val="20"/>
      <w:lang w:eastAsia="de-DE"/>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Lined - Accent 2"/>
    <w:basedOn w:val="775"/>
    <w:uiPriority w:val="99"/>
    <w:pPr>
      <w:pBdr/>
      <w:spacing w:after="0" w:line="240" w:lineRule="auto"/>
      <w:ind/>
    </w:pPr>
    <w:rPr>
      <w:color w:val="404040"/>
      <w:sz w:val="20"/>
      <w:szCs w:val="20"/>
      <w:lang w:eastAsia="de-DE"/>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Lined - Accent 3"/>
    <w:basedOn w:val="775"/>
    <w:uiPriority w:val="99"/>
    <w:pPr>
      <w:pBdr/>
      <w:spacing w:after="0" w:line="240" w:lineRule="auto"/>
      <w:ind/>
    </w:pPr>
    <w:rPr>
      <w:color w:val="404040"/>
      <w:sz w:val="20"/>
      <w:szCs w:val="20"/>
      <w:lang w:eastAsia="de-DE"/>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Lined - Accent 4"/>
    <w:basedOn w:val="775"/>
    <w:uiPriority w:val="99"/>
    <w:pPr>
      <w:pBdr/>
      <w:spacing w:after="0" w:line="240" w:lineRule="auto"/>
      <w:ind/>
    </w:pPr>
    <w:rPr>
      <w:color w:val="404040"/>
      <w:sz w:val="20"/>
      <w:szCs w:val="20"/>
      <w:lang w:eastAsia="de-DE"/>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ned - Accent 5"/>
    <w:basedOn w:val="775"/>
    <w:uiPriority w:val="99"/>
    <w:pPr>
      <w:pBdr/>
      <w:spacing w:after="0" w:line="240" w:lineRule="auto"/>
      <w:ind/>
    </w:pPr>
    <w:rPr>
      <w:color w:val="404040"/>
      <w:sz w:val="20"/>
      <w:szCs w:val="20"/>
      <w:lang w:eastAsia="de-DE"/>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ned - Accent 6"/>
    <w:basedOn w:val="775"/>
    <w:uiPriority w:val="99"/>
    <w:pPr>
      <w:pBdr/>
      <w:spacing w:after="0" w:line="240" w:lineRule="auto"/>
      <w:ind/>
    </w:pPr>
    <w:rPr>
      <w:color w:val="404040"/>
      <w:sz w:val="20"/>
      <w:szCs w:val="20"/>
      <w:lang w:eastAsia="de-DE"/>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Bordered &amp; Lined - Accent"/>
    <w:basedOn w:val="775"/>
    <w:uiPriority w:val="99"/>
    <w:pPr>
      <w:pBdr/>
      <w:spacing w:after="0" w:line="240" w:lineRule="auto"/>
      <w:ind/>
    </w:pPr>
    <w:rPr>
      <w:color w:val="404040"/>
      <w:sz w:val="20"/>
      <w:szCs w:val="20"/>
      <w:lang w:eastAsia="de-DE"/>
      <w14:ligatures w14:val="none"/>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Bordered &amp; Lined - Accent 1"/>
    <w:basedOn w:val="775"/>
    <w:uiPriority w:val="99"/>
    <w:pPr>
      <w:pBdr/>
      <w:spacing w:after="0" w:line="240" w:lineRule="auto"/>
      <w:ind/>
    </w:pPr>
    <w:rPr>
      <w:color w:val="404040"/>
      <w:sz w:val="20"/>
      <w:szCs w:val="20"/>
      <w:lang w:eastAsia="de-DE"/>
      <w14:ligatures w14:val="none"/>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Bordered &amp; Lined - Accent 2"/>
    <w:basedOn w:val="775"/>
    <w:uiPriority w:val="99"/>
    <w:pPr>
      <w:pBdr/>
      <w:spacing w:after="0" w:line="240" w:lineRule="auto"/>
      <w:ind/>
    </w:pPr>
    <w:rPr>
      <w:color w:val="404040"/>
      <w:sz w:val="20"/>
      <w:szCs w:val="20"/>
      <w:lang w:eastAsia="de-DE"/>
      <w14:ligatures w14:val="none"/>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Bordered &amp; Lined - Accent 3"/>
    <w:basedOn w:val="775"/>
    <w:uiPriority w:val="99"/>
    <w:pPr>
      <w:pBdr/>
      <w:spacing w:after="0" w:line="240" w:lineRule="auto"/>
      <w:ind/>
    </w:pPr>
    <w:rPr>
      <w:color w:val="404040"/>
      <w:sz w:val="20"/>
      <w:szCs w:val="20"/>
      <w:lang w:eastAsia="de-DE"/>
      <w14:ligatures w14:val="none"/>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Bordered &amp; Lined - Accent 4"/>
    <w:basedOn w:val="775"/>
    <w:uiPriority w:val="99"/>
    <w:pPr>
      <w:pBdr/>
      <w:spacing w:after="0" w:line="240" w:lineRule="auto"/>
      <w:ind/>
    </w:pPr>
    <w:rPr>
      <w:color w:val="404040"/>
      <w:sz w:val="20"/>
      <w:szCs w:val="20"/>
      <w:lang w:eastAsia="de-DE"/>
      <w14:ligatures w14:val="none"/>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Bordered &amp; Lined - Accent 5"/>
    <w:basedOn w:val="775"/>
    <w:uiPriority w:val="99"/>
    <w:pPr>
      <w:pBdr/>
      <w:spacing w:after="0" w:line="240" w:lineRule="auto"/>
      <w:ind/>
    </w:pPr>
    <w:rPr>
      <w:color w:val="404040"/>
      <w:sz w:val="20"/>
      <w:szCs w:val="20"/>
      <w:lang w:eastAsia="de-DE"/>
      <w14:ligatures w14:val="none"/>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Bordered &amp; Lined - Accent 6"/>
    <w:basedOn w:val="775"/>
    <w:uiPriority w:val="99"/>
    <w:pPr>
      <w:pBdr/>
      <w:spacing w:after="0" w:line="240" w:lineRule="auto"/>
      <w:ind/>
    </w:pPr>
    <w:rPr>
      <w:color w:val="404040"/>
      <w:sz w:val="20"/>
      <w:szCs w:val="20"/>
      <w:lang w:eastAsia="de-DE"/>
      <w14:ligatures w14:val="none"/>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Bordered"/>
    <w:basedOn w:val="77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Bordered - Accent 1"/>
    <w:basedOn w:val="775"/>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Bordered - Accent 2"/>
    <w:basedOn w:val="775"/>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Bordered - Accent 3"/>
    <w:basedOn w:val="775"/>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Bordered - Accent 4"/>
    <w:basedOn w:val="775"/>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Bordered - Accent 5"/>
    <w:basedOn w:val="775"/>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Bordered - Accent 6"/>
    <w:basedOn w:val="775"/>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02" w:customStyle="1">
    <w:name w:val="Heading 1 Char"/>
    <w:basedOn w:val="774"/>
    <w:uiPriority w:val="9"/>
    <w:pPr>
      <w:pBdr/>
      <w:spacing/>
      <w:ind/>
    </w:pPr>
    <w:rPr>
      <w:rFonts w:ascii="Arial" w:hAnsi="Arial" w:eastAsia="Arial" w:cs="Arial"/>
      <w:color w:val="2f5496" w:themeColor="accent1" w:themeShade="BF"/>
      <w:sz w:val="40"/>
      <w:szCs w:val="40"/>
    </w:rPr>
  </w:style>
  <w:style w:type="character" w:styleId="903" w:customStyle="1">
    <w:name w:val="Heading 2 Char"/>
    <w:basedOn w:val="774"/>
    <w:uiPriority w:val="9"/>
    <w:pPr>
      <w:pBdr/>
      <w:spacing/>
      <w:ind/>
    </w:pPr>
    <w:rPr>
      <w:rFonts w:ascii="Arial" w:hAnsi="Arial" w:eastAsia="Arial" w:cs="Arial"/>
      <w:color w:val="2f5496" w:themeColor="accent1" w:themeShade="BF"/>
      <w:sz w:val="32"/>
      <w:szCs w:val="32"/>
    </w:rPr>
  </w:style>
  <w:style w:type="character" w:styleId="904" w:customStyle="1">
    <w:name w:val="Heading 3 Char"/>
    <w:basedOn w:val="774"/>
    <w:uiPriority w:val="9"/>
    <w:pPr>
      <w:pBdr/>
      <w:spacing/>
      <w:ind/>
    </w:pPr>
    <w:rPr>
      <w:rFonts w:ascii="Arial" w:hAnsi="Arial" w:eastAsia="Arial" w:cs="Arial"/>
      <w:color w:val="2f5496" w:themeColor="accent1" w:themeShade="BF"/>
      <w:sz w:val="28"/>
      <w:szCs w:val="28"/>
    </w:rPr>
  </w:style>
  <w:style w:type="character" w:styleId="905" w:customStyle="1">
    <w:name w:val="Heading 4 Char"/>
    <w:basedOn w:val="774"/>
    <w:uiPriority w:val="9"/>
    <w:pPr>
      <w:pBdr/>
      <w:spacing/>
      <w:ind/>
    </w:pPr>
    <w:rPr>
      <w:rFonts w:ascii="Arial" w:hAnsi="Arial" w:eastAsia="Arial" w:cs="Arial"/>
      <w:i/>
      <w:iCs/>
      <w:color w:val="2f5496" w:themeColor="accent1" w:themeShade="BF"/>
    </w:rPr>
  </w:style>
  <w:style w:type="character" w:styleId="906" w:customStyle="1">
    <w:name w:val="Heading 5 Char"/>
    <w:basedOn w:val="774"/>
    <w:uiPriority w:val="9"/>
    <w:pPr>
      <w:pBdr/>
      <w:spacing/>
      <w:ind/>
    </w:pPr>
    <w:rPr>
      <w:rFonts w:ascii="Arial" w:hAnsi="Arial" w:eastAsia="Arial" w:cs="Arial"/>
      <w:color w:val="2f5496" w:themeColor="accent1" w:themeShade="BF"/>
    </w:rPr>
  </w:style>
  <w:style w:type="character" w:styleId="907" w:customStyle="1">
    <w:name w:val="Heading 6 Char"/>
    <w:basedOn w:val="774"/>
    <w:uiPriority w:val="9"/>
    <w:pPr>
      <w:pBdr/>
      <w:spacing/>
      <w:ind/>
    </w:pPr>
    <w:rPr>
      <w:rFonts w:ascii="Arial" w:hAnsi="Arial" w:eastAsia="Arial" w:cs="Arial"/>
      <w:i/>
      <w:iCs/>
      <w:color w:val="595959" w:themeColor="text1" w:themeTint="A6"/>
    </w:rPr>
  </w:style>
  <w:style w:type="character" w:styleId="908" w:customStyle="1">
    <w:name w:val="Heading 7 Char"/>
    <w:basedOn w:val="774"/>
    <w:uiPriority w:val="9"/>
    <w:pPr>
      <w:pBdr/>
      <w:spacing/>
      <w:ind/>
    </w:pPr>
    <w:rPr>
      <w:rFonts w:ascii="Arial" w:hAnsi="Arial" w:eastAsia="Arial" w:cs="Arial"/>
      <w:color w:val="595959" w:themeColor="text1" w:themeTint="A6"/>
    </w:rPr>
  </w:style>
  <w:style w:type="character" w:styleId="909" w:customStyle="1">
    <w:name w:val="Heading 8 Char"/>
    <w:basedOn w:val="774"/>
    <w:uiPriority w:val="9"/>
    <w:pPr>
      <w:pBdr/>
      <w:spacing/>
      <w:ind/>
    </w:pPr>
    <w:rPr>
      <w:rFonts w:ascii="Arial" w:hAnsi="Arial" w:eastAsia="Arial" w:cs="Arial"/>
      <w:i/>
      <w:iCs/>
      <w:color w:val="272727" w:themeColor="text1" w:themeTint="D8"/>
    </w:rPr>
  </w:style>
  <w:style w:type="character" w:styleId="910" w:customStyle="1">
    <w:name w:val="Heading 9 Char"/>
    <w:basedOn w:val="774"/>
    <w:uiPriority w:val="9"/>
    <w:pPr>
      <w:pBdr/>
      <w:spacing/>
      <w:ind/>
    </w:pPr>
    <w:rPr>
      <w:rFonts w:ascii="Arial" w:hAnsi="Arial" w:eastAsia="Arial" w:cs="Arial"/>
      <w:i/>
      <w:iCs/>
      <w:color w:val="272727" w:themeColor="text1" w:themeTint="D8"/>
    </w:rPr>
  </w:style>
  <w:style w:type="character" w:styleId="911" w:customStyle="1">
    <w:name w:val="Title Char"/>
    <w:basedOn w:val="774"/>
    <w:uiPriority w:val="10"/>
    <w:pPr>
      <w:pBdr/>
      <w:spacing/>
      <w:ind/>
    </w:pPr>
    <w:rPr>
      <w:rFonts w:ascii="Arial" w:hAnsi="Arial" w:eastAsia="Arial" w:cs="Arial"/>
      <w:spacing w:val="-10"/>
      <w:sz w:val="56"/>
      <w:szCs w:val="56"/>
    </w:rPr>
  </w:style>
  <w:style w:type="character" w:styleId="912" w:customStyle="1">
    <w:name w:val="Subtitle Char"/>
    <w:basedOn w:val="774"/>
    <w:uiPriority w:val="11"/>
    <w:pPr>
      <w:pBdr/>
      <w:spacing/>
      <w:ind/>
    </w:pPr>
    <w:rPr>
      <w:color w:val="595959" w:themeColor="text1" w:themeTint="A6"/>
      <w:spacing w:val="15"/>
      <w:sz w:val="28"/>
      <w:szCs w:val="28"/>
    </w:rPr>
  </w:style>
  <w:style w:type="character" w:styleId="913" w:customStyle="1">
    <w:name w:val="Quote Char"/>
    <w:basedOn w:val="774"/>
    <w:uiPriority w:val="29"/>
    <w:pPr>
      <w:pBdr/>
      <w:spacing/>
      <w:ind/>
    </w:pPr>
    <w:rPr>
      <w:i/>
      <w:iCs/>
      <w:color w:val="404040" w:themeColor="text1" w:themeTint="BF"/>
    </w:rPr>
  </w:style>
  <w:style w:type="character" w:styleId="914">
    <w:name w:val="Intense Emphasis"/>
    <w:basedOn w:val="774"/>
    <w:uiPriority w:val="21"/>
    <w:qFormat/>
    <w:pPr>
      <w:pBdr/>
      <w:spacing/>
      <w:ind/>
    </w:pPr>
    <w:rPr>
      <w:i/>
      <w:iCs/>
      <w:color w:val="2f5496" w:themeColor="accent1" w:themeShade="BF"/>
    </w:rPr>
  </w:style>
  <w:style w:type="character" w:styleId="915" w:customStyle="1">
    <w:name w:val="Intense Quote Char"/>
    <w:basedOn w:val="774"/>
    <w:uiPriority w:val="30"/>
    <w:pPr>
      <w:pBdr/>
      <w:spacing/>
      <w:ind/>
    </w:pPr>
    <w:rPr>
      <w:i/>
      <w:iCs/>
      <w:color w:val="2f5496" w:themeColor="accent1" w:themeShade="BF"/>
    </w:rPr>
  </w:style>
  <w:style w:type="character" w:styleId="916">
    <w:name w:val="Intense Reference"/>
    <w:basedOn w:val="774"/>
    <w:uiPriority w:val="32"/>
    <w:qFormat/>
    <w:pPr>
      <w:pBdr/>
      <w:spacing/>
      <w:ind/>
    </w:pPr>
    <w:rPr>
      <w:b/>
      <w:bCs/>
      <w:smallCaps/>
      <w:color w:val="2f5496" w:themeColor="accent1" w:themeShade="BF"/>
      <w:spacing w:val="5"/>
    </w:rPr>
  </w:style>
  <w:style w:type="character" w:styleId="917">
    <w:name w:val="Subtle Emphasis"/>
    <w:basedOn w:val="774"/>
    <w:uiPriority w:val="19"/>
    <w:qFormat/>
    <w:pPr>
      <w:pBdr/>
      <w:spacing/>
      <w:ind/>
    </w:pPr>
    <w:rPr>
      <w:i/>
      <w:iCs/>
      <w:color w:val="404040" w:themeColor="text1" w:themeTint="BF"/>
    </w:rPr>
  </w:style>
  <w:style w:type="character" w:styleId="918">
    <w:name w:val="Emphasis"/>
    <w:basedOn w:val="774"/>
    <w:uiPriority w:val="20"/>
    <w:qFormat/>
    <w:pPr>
      <w:pBdr/>
      <w:spacing/>
      <w:ind/>
    </w:pPr>
    <w:rPr>
      <w:i/>
      <w:iCs/>
    </w:rPr>
  </w:style>
  <w:style w:type="character" w:styleId="919">
    <w:name w:val="Strong"/>
    <w:basedOn w:val="774"/>
    <w:uiPriority w:val="22"/>
    <w:qFormat/>
    <w:pPr>
      <w:pBdr/>
      <w:spacing/>
      <w:ind/>
    </w:pPr>
    <w:rPr>
      <w:b/>
      <w:bCs/>
    </w:rPr>
  </w:style>
  <w:style w:type="character" w:styleId="920">
    <w:name w:val="Subtle Reference"/>
    <w:basedOn w:val="774"/>
    <w:uiPriority w:val="31"/>
    <w:qFormat/>
    <w:pPr>
      <w:pBdr/>
      <w:spacing/>
      <w:ind/>
    </w:pPr>
    <w:rPr>
      <w:smallCaps/>
      <w:color w:val="5a5a5a" w:themeColor="text1" w:themeTint="A5"/>
    </w:rPr>
  </w:style>
  <w:style w:type="character" w:styleId="921">
    <w:name w:val="Book Title"/>
    <w:basedOn w:val="774"/>
    <w:uiPriority w:val="33"/>
    <w:qFormat/>
    <w:pPr>
      <w:pBdr/>
      <w:spacing/>
      <w:ind/>
    </w:pPr>
    <w:rPr>
      <w:b/>
      <w:bCs/>
      <w:i/>
      <w:iCs/>
      <w:spacing w:val="5"/>
    </w:rPr>
  </w:style>
  <w:style w:type="character" w:styleId="922" w:customStyle="1">
    <w:name w:val="Header Char"/>
    <w:basedOn w:val="774"/>
    <w:uiPriority w:val="99"/>
    <w:pPr>
      <w:pBdr/>
      <w:spacing/>
      <w:ind/>
    </w:pPr>
  </w:style>
  <w:style w:type="character" w:styleId="923" w:customStyle="1">
    <w:name w:val="Footer Char"/>
    <w:basedOn w:val="774"/>
    <w:uiPriority w:val="99"/>
    <w:pPr>
      <w:pBdr/>
      <w:spacing/>
      <w:ind/>
    </w:pPr>
  </w:style>
  <w:style w:type="character" w:styleId="924" w:customStyle="1">
    <w:name w:val="Footnote Text Char"/>
    <w:basedOn w:val="774"/>
    <w:uiPriority w:val="99"/>
    <w:semiHidden/>
    <w:pPr>
      <w:pBdr/>
      <w:spacing/>
      <w:ind/>
    </w:pPr>
    <w:rPr>
      <w:sz w:val="20"/>
      <w:szCs w:val="20"/>
    </w:rPr>
  </w:style>
  <w:style w:type="character" w:styleId="925">
    <w:name w:val="footnote reference"/>
    <w:basedOn w:val="774"/>
    <w:uiPriority w:val="99"/>
    <w:semiHidden/>
    <w:unhideWhenUsed/>
    <w:pPr>
      <w:pBdr/>
      <w:spacing/>
      <w:ind/>
    </w:pPr>
    <w:rPr>
      <w:vertAlign w:val="superscript"/>
    </w:rPr>
  </w:style>
  <w:style w:type="character" w:styleId="926" w:customStyle="1">
    <w:name w:val="Endnote Text Char"/>
    <w:basedOn w:val="774"/>
    <w:uiPriority w:val="99"/>
    <w:semiHidden/>
    <w:pPr>
      <w:pBdr/>
      <w:spacing/>
      <w:ind/>
    </w:pPr>
    <w:rPr>
      <w:sz w:val="20"/>
      <w:szCs w:val="20"/>
    </w:rPr>
  </w:style>
  <w:style w:type="character" w:styleId="927">
    <w:name w:val="endnote reference"/>
    <w:basedOn w:val="774"/>
    <w:uiPriority w:val="99"/>
    <w:semiHidden/>
    <w:unhideWhenUsed/>
    <w:pPr>
      <w:pBdr/>
      <w:spacing/>
      <w:ind/>
    </w:pPr>
    <w:rPr>
      <w:vertAlign w:val="superscript"/>
    </w:rPr>
  </w:style>
  <w:style w:type="character" w:styleId="928">
    <w:name w:val="Placeholder Text"/>
    <w:basedOn w:val="774"/>
    <w:uiPriority w:val="99"/>
    <w:semiHidden/>
    <w:pPr>
      <w:pBdr/>
      <w:spacing/>
      <w:ind/>
    </w:pPr>
    <w:rPr>
      <w:color w:val="666666"/>
    </w:rPr>
  </w:style>
  <w:style w:type="paragraph" w:styleId="929">
    <w:name w:val="table of figures"/>
    <w:basedOn w:val="764"/>
    <w:next w:val="764"/>
    <w:uiPriority w:val="99"/>
    <w:unhideWhenUsed/>
    <w:pPr>
      <w:pBdr/>
      <w:spacing w:after="0"/>
      <w:ind/>
    </w:pPr>
  </w:style>
  <w:style w:type="character" w:styleId="930">
    <w:name w:val="Hyperlink"/>
    <w:basedOn w:val="774"/>
    <w:uiPriority w:val="99"/>
    <w:unhideWhenUsed/>
    <w:pPr>
      <w:pBdr/>
      <w:spacing/>
      <w:ind/>
    </w:pPr>
    <w:rPr>
      <w:color w:val="0563c1" w:themeColor="hyperlink"/>
      <w:u w:val="single"/>
    </w:rPr>
  </w:style>
  <w:style w:type="table" w:styleId="931">
    <w:name w:val="Table Grid"/>
    <w:basedOn w:val="775"/>
    <w:uiPriority w:val="39"/>
    <w:pPr>
      <w:pBdr/>
      <w:spacing w:after="0" w:line="240" w:lineRule="auto"/>
      <w:ind/>
    </w:pPr>
    <w:rPr>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32" w:customStyle="1">
    <w:name w:val="Hyperlink.0"/>
    <w:basedOn w:val="930"/>
    <w:pPr>
      <w:pBdr/>
      <w:spacing/>
      <w:ind/>
    </w:pPr>
    <w:rPr>
      <w:color w:val="0563c1" w:themeColor="hyperlink"/>
      <w:u w:val="single"/>
    </w:rPr>
  </w:style>
  <w:style w:type="character" w:styleId="933">
    <w:name w:val="Unresolved Mention"/>
    <w:basedOn w:val="774"/>
    <w:uiPriority w:val="99"/>
    <w:semiHidden/>
    <w:unhideWhenUsed/>
    <w:pPr>
      <w:pBdr/>
      <w:spacing/>
      <w:ind/>
    </w:pPr>
    <w:rPr>
      <w:color w:val="605e5c"/>
      <w:shd w:val="clear" w:color="auto" w:fill="e1dfdd"/>
    </w:rPr>
  </w:style>
  <w:style w:type="paragraph" w:styleId="934">
    <w:name w:val="List Paragraph"/>
    <w:basedOn w:val="764"/>
    <w:uiPriority w:val="34"/>
    <w:qFormat/>
    <w:pPr>
      <w:pBdr/>
      <w:spacing/>
      <w:ind w:left="720"/>
      <w:contextualSpacing w:val="true"/>
    </w:pPr>
  </w:style>
  <w:style w:type="character" w:styleId="935">
    <w:name w:val="FollowedHyperlink"/>
    <w:basedOn w:val="774"/>
    <w:uiPriority w:val="99"/>
    <w:semiHidden/>
    <w:unhideWhenUsed/>
    <w:pPr>
      <w:pBdr/>
      <w:spacing/>
      <w:ind/>
    </w:pPr>
    <w:rPr>
      <w:color w:val="954f72" w:themeColor="followedHyperlink"/>
      <w:u w:val="single"/>
    </w:rPr>
  </w:style>
  <w:style w:type="paragraph" w:styleId="936">
    <w:name w:val="No Spacing"/>
    <w:uiPriority w:val="1"/>
    <w:qFormat/>
    <w:pPr>
      <w:pBdr/>
      <w:spacing w:after="0" w:line="240" w:lineRule="auto"/>
      <w:ind/>
    </w:pPr>
  </w:style>
  <w:style w:type="paragraph" w:styleId="937">
    <w:name w:val="Revision"/>
    <w:hidden/>
    <w:uiPriority w:val="99"/>
    <w:semiHidden/>
    <w:pPr>
      <w:pBdr/>
      <w:spacing w:after="0" w:line="240" w:lineRule="auto"/>
      <w:ind/>
    </w:pPr>
    <w:rPr>
      <w14:ligatures w14:val="none"/>
    </w:rPr>
  </w:style>
  <w:style w:type="character" w:styleId="938" w:customStyle="1">
    <w:name w:val="Überschrift 1 Zchn"/>
    <w:basedOn w:val="774"/>
    <w:link w:val="765"/>
    <w:uiPriority w:val="9"/>
    <w:pPr>
      <w:pBdr/>
      <w:spacing/>
      <w:ind/>
    </w:pPr>
    <w:rPr>
      <w:rFonts w:asciiTheme="majorHAnsi" w:hAnsiTheme="majorHAnsi" w:eastAsiaTheme="majorEastAsia" w:cstheme="majorBidi"/>
      <w:color w:val="2f5496" w:themeColor="accent1" w:themeShade="BF"/>
      <w:sz w:val="32"/>
      <w:szCs w:val="32"/>
      <w:lang w:val="de-DE"/>
    </w:rPr>
  </w:style>
  <w:style w:type="paragraph" w:styleId="939" w:customStyle="1">
    <w:name w:val="Ü. Kurier"/>
    <w:basedOn w:val="765"/>
    <w:next w:val="764"/>
    <w:link w:val="941"/>
    <w:uiPriority w:val="1"/>
    <w:qFormat/>
    <w:pPr>
      <w:pBdr/>
      <w:spacing/>
      <w:ind/>
    </w:pPr>
    <w:rPr>
      <w:rFonts w:ascii="SPD TheSans" w:hAnsi="SPD TheSans"/>
      <w:b/>
      <w:bCs/>
      <w:smallCaps/>
      <w:color w:val="c00000"/>
      <w:sz w:val="40"/>
      <w:szCs w:val="40"/>
    </w:rPr>
  </w:style>
  <w:style w:type="paragraph" w:styleId="940">
    <w:name w:val="TOC Heading"/>
    <w:basedOn w:val="765"/>
    <w:next w:val="764"/>
    <w:uiPriority w:val="39"/>
    <w:unhideWhenUsed/>
    <w:qFormat/>
    <w:pPr>
      <w:pBdr/>
      <w:spacing/>
      <w:ind/>
    </w:pPr>
    <w:rPr>
      <w:lang w:eastAsia="de-DE"/>
    </w:rPr>
  </w:style>
  <w:style w:type="character" w:styleId="941" w:customStyle="1">
    <w:name w:val="Ü. Kurier Zchn"/>
    <w:link w:val="939"/>
    <w:uiPriority w:val="1"/>
    <w:pPr>
      <w:pBdr/>
      <w:spacing/>
      <w:ind/>
    </w:pPr>
    <w:rPr>
      <w:lang w:val="de-DE"/>
    </w:rPr>
  </w:style>
  <w:style w:type="paragraph" w:styleId="942">
    <w:name w:val="toc 1"/>
    <w:basedOn w:val="764"/>
    <w:next w:val="764"/>
    <w:uiPriority w:val="39"/>
    <w:unhideWhenUsed/>
    <w:pPr>
      <w:pBdr/>
      <w:tabs>
        <w:tab w:val="right" w:leader="dot" w:pos="9062"/>
      </w:tabs>
      <w:spacing w:after="100"/>
      <w:ind/>
    </w:pPr>
  </w:style>
  <w:style w:type="paragraph" w:styleId="943">
    <w:name w:val="Header"/>
    <w:basedOn w:val="764"/>
    <w:link w:val="944"/>
    <w:uiPriority w:val="99"/>
    <w:unhideWhenUsed/>
    <w:pPr>
      <w:pBdr/>
      <w:tabs>
        <w:tab w:val="center" w:leader="none" w:pos="4536"/>
        <w:tab w:val="right" w:leader="none" w:pos="9072"/>
      </w:tabs>
      <w:spacing w:after="0"/>
      <w:ind/>
    </w:pPr>
  </w:style>
  <w:style w:type="character" w:styleId="944" w:customStyle="1">
    <w:name w:val="Kopfzeile Zchn"/>
    <w:basedOn w:val="774"/>
    <w:link w:val="943"/>
    <w:uiPriority w:val="99"/>
    <w:pPr>
      <w:pBdr/>
      <w:spacing/>
      <w:ind/>
    </w:pPr>
    <w:rPr>
      <w:rFonts w:ascii="SPD TheSans" w:hAnsi="SPD TheSans" w:eastAsiaTheme="minorEastAsia" w:cstheme="minorBidi"/>
      <w:sz w:val="28"/>
      <w:szCs w:val="28"/>
      <w:lang w:val="de-DE"/>
    </w:rPr>
  </w:style>
  <w:style w:type="paragraph" w:styleId="945">
    <w:name w:val="Footer"/>
    <w:basedOn w:val="764"/>
    <w:link w:val="946"/>
    <w:uiPriority w:val="99"/>
    <w:unhideWhenUsed/>
    <w:pPr>
      <w:pBdr/>
      <w:tabs>
        <w:tab w:val="center" w:leader="none" w:pos="4536"/>
        <w:tab w:val="right" w:leader="none" w:pos="9072"/>
      </w:tabs>
      <w:spacing w:after="0"/>
      <w:ind/>
    </w:pPr>
  </w:style>
  <w:style w:type="character" w:styleId="946" w:customStyle="1">
    <w:name w:val="Fußzeile Zchn"/>
    <w:basedOn w:val="774"/>
    <w:link w:val="945"/>
    <w:uiPriority w:val="99"/>
    <w:pPr>
      <w:pBdr/>
      <w:spacing/>
      <w:ind/>
    </w:pPr>
    <w:rPr>
      <w:rFonts w:ascii="SPD TheSans" w:hAnsi="SPD TheSans" w:eastAsiaTheme="minorEastAsia" w:cstheme="minorBidi"/>
      <w:sz w:val="28"/>
      <w:szCs w:val="28"/>
      <w:lang w:val="de-DE"/>
    </w:rPr>
  </w:style>
  <w:style w:type="paragraph" w:styleId="947">
    <w:name w:val="Caption"/>
    <w:basedOn w:val="764"/>
    <w:next w:val="764"/>
    <w:uiPriority w:val="35"/>
    <w:unhideWhenUsed/>
    <w:qFormat/>
    <w:pPr>
      <w:pBdr/>
      <w:spacing w:after="200"/>
      <w:ind/>
    </w:pPr>
    <w:rPr>
      <w:i/>
      <w:iCs/>
      <w:color w:val="44546a" w:themeColor="text2"/>
      <w:sz w:val="18"/>
      <w:szCs w:val="18"/>
    </w:rPr>
  </w:style>
  <w:style w:type="paragraph" w:styleId="948">
    <w:name w:val="Title"/>
    <w:basedOn w:val="764"/>
    <w:next w:val="764"/>
    <w:link w:val="960"/>
    <w:uiPriority w:val="10"/>
    <w:qFormat/>
    <w:pPr>
      <w:pBdr/>
      <w:spacing w:after="0"/>
      <w:ind/>
      <w:contextualSpacing w:val="true"/>
    </w:pPr>
    <w:rPr>
      <w:rFonts w:asciiTheme="majorHAnsi" w:hAnsiTheme="majorHAnsi" w:eastAsiaTheme="majorEastAsia" w:cstheme="majorBidi"/>
      <w:sz w:val="56"/>
      <w:szCs w:val="56"/>
    </w:rPr>
  </w:style>
  <w:style w:type="paragraph" w:styleId="949">
    <w:name w:val="Subtitle"/>
    <w:basedOn w:val="764"/>
    <w:next w:val="764"/>
    <w:link w:val="961"/>
    <w:uiPriority w:val="11"/>
    <w:qFormat/>
    <w:pPr>
      <w:pBdr/>
      <w:spacing/>
      <w:ind/>
    </w:pPr>
    <w:rPr>
      <w:rFonts w:eastAsiaTheme="minorEastAsia"/>
      <w:color w:val="5a5a5a"/>
    </w:rPr>
  </w:style>
  <w:style w:type="paragraph" w:styleId="950">
    <w:name w:val="Quote"/>
    <w:basedOn w:val="764"/>
    <w:next w:val="764"/>
    <w:link w:val="962"/>
    <w:uiPriority w:val="29"/>
    <w:qFormat/>
    <w:pPr>
      <w:pBdr/>
      <w:spacing w:before="200"/>
      <w:ind w:right="864" w:left="864"/>
      <w:jc w:val="center"/>
    </w:pPr>
    <w:rPr>
      <w:i/>
      <w:iCs/>
      <w:color w:val="404040" w:themeColor="text1" w:themeTint="BF"/>
    </w:rPr>
  </w:style>
  <w:style w:type="paragraph" w:styleId="951">
    <w:name w:val="Intense Quote"/>
    <w:basedOn w:val="764"/>
    <w:next w:val="764"/>
    <w:link w:val="963"/>
    <w:uiPriority w:val="30"/>
    <w:qFormat/>
    <w:pPr>
      <w:pBdr/>
      <w:spacing w:after="360" w:before="360"/>
      <w:ind w:right="864" w:left="864"/>
      <w:jc w:val="center"/>
    </w:pPr>
    <w:rPr>
      <w:i/>
      <w:iCs/>
      <w:color w:val="4472c4" w:themeColor="accent1"/>
    </w:rPr>
  </w:style>
  <w:style w:type="character" w:styleId="952" w:customStyle="1">
    <w:name w:val="Überschrift 2 Zchn"/>
    <w:basedOn w:val="774"/>
    <w:link w:val="766"/>
    <w:uiPriority w:val="9"/>
    <w:pPr>
      <w:pBdr/>
      <w:spacing/>
      <w:ind/>
    </w:pPr>
    <w:rPr>
      <w:rFonts w:asciiTheme="majorHAnsi" w:hAnsiTheme="majorHAnsi" w:eastAsiaTheme="majorEastAsia" w:cstheme="majorBidi"/>
      <w:color w:val="2f5496" w:themeColor="accent1" w:themeShade="BF"/>
      <w:sz w:val="26"/>
      <w:szCs w:val="26"/>
      <w:lang w:val="de-DE"/>
    </w:rPr>
  </w:style>
  <w:style w:type="character" w:styleId="953" w:customStyle="1">
    <w:name w:val="Überschrift 3 Zchn"/>
    <w:basedOn w:val="774"/>
    <w:link w:val="767"/>
    <w:uiPriority w:val="9"/>
    <w:pPr>
      <w:pBdr/>
      <w:spacing/>
      <w:ind/>
    </w:pPr>
    <w:rPr>
      <w:rFonts w:asciiTheme="majorHAnsi" w:hAnsiTheme="majorHAnsi" w:eastAsiaTheme="majorEastAsia" w:cstheme="majorBidi"/>
      <w:color w:val="1f3763"/>
      <w:sz w:val="24"/>
      <w:szCs w:val="24"/>
      <w:lang w:val="de-DE"/>
    </w:rPr>
  </w:style>
  <w:style w:type="character" w:styleId="954" w:customStyle="1">
    <w:name w:val="Überschrift 4 Zchn"/>
    <w:basedOn w:val="774"/>
    <w:link w:val="768"/>
    <w:uiPriority w:val="9"/>
    <w:pPr>
      <w:pBdr/>
      <w:spacing/>
      <w:ind/>
    </w:pPr>
    <w:rPr>
      <w:rFonts w:asciiTheme="majorHAnsi" w:hAnsiTheme="majorHAnsi" w:eastAsiaTheme="majorEastAsia" w:cstheme="majorBidi"/>
      <w:i/>
      <w:iCs/>
      <w:color w:val="2f5496" w:themeColor="accent1" w:themeShade="BF"/>
      <w:lang w:val="de-DE"/>
    </w:rPr>
  </w:style>
  <w:style w:type="character" w:styleId="955" w:customStyle="1">
    <w:name w:val="Überschrift 5 Zchn"/>
    <w:basedOn w:val="774"/>
    <w:link w:val="769"/>
    <w:uiPriority w:val="9"/>
    <w:pPr>
      <w:pBdr/>
      <w:spacing/>
      <w:ind/>
    </w:pPr>
    <w:rPr>
      <w:rFonts w:asciiTheme="majorHAnsi" w:hAnsiTheme="majorHAnsi" w:eastAsiaTheme="majorEastAsia" w:cstheme="majorBidi"/>
      <w:color w:val="2f5496" w:themeColor="accent1" w:themeShade="BF"/>
      <w:lang w:val="de-DE"/>
    </w:rPr>
  </w:style>
  <w:style w:type="character" w:styleId="956" w:customStyle="1">
    <w:name w:val="Überschrift 6 Zchn"/>
    <w:basedOn w:val="774"/>
    <w:link w:val="770"/>
    <w:uiPriority w:val="9"/>
    <w:pPr>
      <w:pBdr/>
      <w:spacing/>
      <w:ind/>
    </w:pPr>
    <w:rPr>
      <w:rFonts w:asciiTheme="majorHAnsi" w:hAnsiTheme="majorHAnsi" w:eastAsiaTheme="majorEastAsia" w:cstheme="majorBidi"/>
      <w:color w:val="1f3763"/>
      <w:lang w:val="de-DE"/>
    </w:rPr>
  </w:style>
  <w:style w:type="character" w:styleId="957" w:customStyle="1">
    <w:name w:val="Überschrift 7 Zchn"/>
    <w:basedOn w:val="774"/>
    <w:link w:val="771"/>
    <w:uiPriority w:val="9"/>
    <w:pPr>
      <w:pBdr/>
      <w:spacing/>
      <w:ind/>
    </w:pPr>
    <w:rPr>
      <w:rFonts w:asciiTheme="majorHAnsi" w:hAnsiTheme="majorHAnsi" w:eastAsiaTheme="majorEastAsia" w:cstheme="majorBidi"/>
      <w:i/>
      <w:iCs/>
      <w:color w:val="1f3763"/>
      <w:lang w:val="de-DE"/>
    </w:rPr>
  </w:style>
  <w:style w:type="character" w:styleId="958" w:customStyle="1">
    <w:name w:val="Überschrift 8 Zchn"/>
    <w:basedOn w:val="774"/>
    <w:link w:val="772"/>
    <w:uiPriority w:val="9"/>
    <w:pPr>
      <w:pBdr/>
      <w:spacing/>
      <w:ind/>
    </w:pPr>
    <w:rPr>
      <w:rFonts w:asciiTheme="majorHAnsi" w:hAnsiTheme="majorHAnsi" w:eastAsiaTheme="majorEastAsia" w:cstheme="majorBidi"/>
      <w:color w:val="272727"/>
      <w:sz w:val="21"/>
      <w:szCs w:val="21"/>
      <w:lang w:val="de-DE"/>
    </w:rPr>
  </w:style>
  <w:style w:type="character" w:styleId="959" w:customStyle="1">
    <w:name w:val="Überschrift 9 Zchn"/>
    <w:basedOn w:val="774"/>
    <w:link w:val="773"/>
    <w:uiPriority w:val="9"/>
    <w:pPr>
      <w:pBdr/>
      <w:spacing/>
      <w:ind/>
    </w:pPr>
    <w:rPr>
      <w:rFonts w:asciiTheme="majorHAnsi" w:hAnsiTheme="majorHAnsi" w:eastAsiaTheme="majorEastAsia" w:cstheme="majorBidi"/>
      <w:i/>
      <w:iCs/>
      <w:color w:val="272727"/>
      <w:sz w:val="21"/>
      <w:szCs w:val="21"/>
      <w:lang w:val="de-DE"/>
    </w:rPr>
  </w:style>
  <w:style w:type="character" w:styleId="960" w:customStyle="1">
    <w:name w:val="Titel Zchn"/>
    <w:basedOn w:val="774"/>
    <w:link w:val="948"/>
    <w:uiPriority w:val="10"/>
    <w:pPr>
      <w:pBdr/>
      <w:spacing/>
      <w:ind/>
    </w:pPr>
    <w:rPr>
      <w:rFonts w:asciiTheme="majorHAnsi" w:hAnsiTheme="majorHAnsi" w:eastAsiaTheme="majorEastAsia" w:cstheme="majorBidi"/>
      <w:sz w:val="56"/>
      <w:szCs w:val="56"/>
      <w:lang w:val="de-DE"/>
    </w:rPr>
  </w:style>
  <w:style w:type="character" w:styleId="961" w:customStyle="1">
    <w:name w:val="Untertitel Zchn"/>
    <w:basedOn w:val="774"/>
    <w:link w:val="949"/>
    <w:uiPriority w:val="11"/>
    <w:pPr>
      <w:pBdr/>
      <w:spacing/>
      <w:ind/>
    </w:pPr>
    <w:rPr>
      <w:rFonts w:asciiTheme="minorHAnsi" w:hAnsiTheme="minorHAnsi" w:eastAsiaTheme="minorEastAsia" w:cstheme="minorBidi"/>
      <w:color w:val="5a5a5a"/>
      <w:lang w:val="de-DE"/>
    </w:rPr>
  </w:style>
  <w:style w:type="character" w:styleId="962" w:customStyle="1">
    <w:name w:val="Zitat Zchn"/>
    <w:basedOn w:val="774"/>
    <w:link w:val="950"/>
    <w:uiPriority w:val="29"/>
    <w:pPr>
      <w:pBdr/>
      <w:spacing/>
      <w:ind/>
    </w:pPr>
    <w:rPr>
      <w:i/>
      <w:iCs/>
      <w:color w:val="404040" w:themeColor="text1" w:themeTint="BF"/>
      <w:lang w:val="de-DE"/>
    </w:rPr>
  </w:style>
  <w:style w:type="character" w:styleId="963" w:customStyle="1">
    <w:name w:val="Intensives Zitat Zchn"/>
    <w:basedOn w:val="774"/>
    <w:link w:val="951"/>
    <w:uiPriority w:val="30"/>
    <w:pPr>
      <w:pBdr/>
      <w:spacing/>
      <w:ind/>
    </w:pPr>
    <w:rPr>
      <w:i/>
      <w:iCs/>
      <w:color w:val="4472c4" w:themeColor="accent1"/>
      <w:lang w:val="de-DE"/>
    </w:rPr>
  </w:style>
  <w:style w:type="paragraph" w:styleId="964">
    <w:name w:val="toc 2"/>
    <w:basedOn w:val="764"/>
    <w:next w:val="764"/>
    <w:uiPriority w:val="39"/>
    <w:unhideWhenUsed/>
    <w:pPr>
      <w:pBdr/>
      <w:spacing w:after="100"/>
      <w:ind w:left="220"/>
    </w:pPr>
  </w:style>
  <w:style w:type="paragraph" w:styleId="965">
    <w:name w:val="toc 3"/>
    <w:basedOn w:val="764"/>
    <w:next w:val="764"/>
    <w:uiPriority w:val="39"/>
    <w:unhideWhenUsed/>
    <w:pPr>
      <w:pBdr/>
      <w:spacing w:after="100"/>
      <w:ind w:left="440"/>
    </w:pPr>
  </w:style>
  <w:style w:type="paragraph" w:styleId="966">
    <w:name w:val="toc 4"/>
    <w:basedOn w:val="764"/>
    <w:next w:val="764"/>
    <w:uiPriority w:val="39"/>
    <w:unhideWhenUsed/>
    <w:pPr>
      <w:pBdr/>
      <w:spacing w:after="100"/>
      <w:ind w:left="660"/>
    </w:pPr>
  </w:style>
  <w:style w:type="paragraph" w:styleId="967">
    <w:name w:val="toc 5"/>
    <w:basedOn w:val="764"/>
    <w:next w:val="764"/>
    <w:uiPriority w:val="39"/>
    <w:unhideWhenUsed/>
    <w:pPr>
      <w:pBdr/>
      <w:spacing w:after="100"/>
      <w:ind w:left="880"/>
    </w:pPr>
  </w:style>
  <w:style w:type="paragraph" w:styleId="968">
    <w:name w:val="toc 6"/>
    <w:basedOn w:val="764"/>
    <w:next w:val="764"/>
    <w:uiPriority w:val="39"/>
    <w:unhideWhenUsed/>
    <w:pPr>
      <w:pBdr/>
      <w:spacing w:after="100"/>
      <w:ind w:left="1100"/>
    </w:pPr>
  </w:style>
  <w:style w:type="paragraph" w:styleId="969">
    <w:name w:val="toc 7"/>
    <w:basedOn w:val="764"/>
    <w:next w:val="764"/>
    <w:uiPriority w:val="39"/>
    <w:unhideWhenUsed/>
    <w:pPr>
      <w:pBdr/>
      <w:spacing w:after="100"/>
      <w:ind w:left="1320"/>
    </w:pPr>
  </w:style>
  <w:style w:type="paragraph" w:styleId="970">
    <w:name w:val="toc 8"/>
    <w:basedOn w:val="764"/>
    <w:next w:val="764"/>
    <w:uiPriority w:val="39"/>
    <w:unhideWhenUsed/>
    <w:pPr>
      <w:pBdr/>
      <w:spacing w:after="100"/>
      <w:ind w:left="1540"/>
    </w:pPr>
  </w:style>
  <w:style w:type="paragraph" w:styleId="971">
    <w:name w:val="toc 9"/>
    <w:basedOn w:val="764"/>
    <w:next w:val="764"/>
    <w:uiPriority w:val="39"/>
    <w:unhideWhenUsed/>
    <w:pPr>
      <w:pBdr/>
      <w:spacing w:after="100"/>
      <w:ind w:left="1760"/>
    </w:pPr>
  </w:style>
  <w:style w:type="paragraph" w:styleId="972">
    <w:name w:val="endnote text"/>
    <w:basedOn w:val="764"/>
    <w:link w:val="973"/>
    <w:uiPriority w:val="99"/>
    <w:semiHidden/>
    <w:unhideWhenUsed/>
    <w:pPr>
      <w:pBdr/>
      <w:spacing w:after="0"/>
      <w:ind/>
    </w:pPr>
    <w:rPr>
      <w:sz w:val="20"/>
      <w:szCs w:val="20"/>
    </w:rPr>
  </w:style>
  <w:style w:type="character" w:styleId="973" w:customStyle="1">
    <w:name w:val="Endnotentext Zchn"/>
    <w:basedOn w:val="774"/>
    <w:link w:val="972"/>
    <w:uiPriority w:val="99"/>
    <w:semiHidden/>
    <w:pPr>
      <w:pBdr/>
      <w:spacing/>
      <w:ind/>
    </w:pPr>
    <w:rPr>
      <w:sz w:val="20"/>
      <w:szCs w:val="20"/>
      <w:lang w:val="de-DE"/>
    </w:rPr>
  </w:style>
  <w:style w:type="paragraph" w:styleId="974">
    <w:name w:val="footnote text"/>
    <w:basedOn w:val="764"/>
    <w:link w:val="975"/>
    <w:uiPriority w:val="99"/>
    <w:semiHidden/>
    <w:unhideWhenUsed/>
    <w:pPr>
      <w:pBdr/>
      <w:spacing w:after="0"/>
      <w:ind/>
    </w:pPr>
    <w:rPr>
      <w:sz w:val="20"/>
      <w:szCs w:val="20"/>
    </w:rPr>
  </w:style>
  <w:style w:type="character" w:styleId="975" w:customStyle="1">
    <w:name w:val="Fußnotentext Zchn"/>
    <w:basedOn w:val="774"/>
    <w:link w:val="974"/>
    <w:uiPriority w:val="99"/>
    <w:semiHidden/>
    <w:pPr>
      <w:pBdr/>
      <w:spacing/>
      <w:ind/>
    </w:pPr>
    <w:rPr>
      <w:sz w:val="20"/>
      <w:szCs w:val="20"/>
      <w:lang w:val="de-DE"/>
    </w:rPr>
  </w:style>
  <w:style w:type="paragraph" w:styleId="976" w:customStyle="1">
    <w:name w:val="Standard1"/>
    <w:pPr>
      <w:pBdr>
        <w:top w:val="none" w:color="000000" w:sz="4" w:space="0"/>
        <w:left w:val="none" w:color="000000" w:sz="4" w:space="0"/>
        <w:bottom w:val="none" w:color="000000" w:sz="4" w:space="0"/>
        <w:right w:val="none" w:color="000000" w:sz="4" w:space="0"/>
        <w:between w:val="none" w:color="000000" w:sz="4" w:space="0"/>
      </w:pBdr>
      <w:spacing w:after="0" w:before="160" w:line="288" w:lineRule="auto"/>
      <w:ind/>
    </w:pPr>
    <w:rPr>
      <w:rFonts w:ascii="Helvetica Neue" w:hAnsi="Helvetica Neue" w:eastAsia="Arial Unicode MS" w:cs="Arial Unicode MS"/>
      <w:color w:val="000000"/>
      <w:sz w:val="24"/>
      <w:szCs w:val="24"/>
      <w:lang w:eastAsia="zh-CN"/>
      <w14:textOutline w14:w="0" w14:cap="flat" w14:cmpd="sng" w14:algn="ctr">
        <w14:noFill/>
        <w14:prstDash w14:val="solid"/>
        <w14:bevel/>
      </w14:textOutline>
      <w14:ligatures w14:val="none"/>
    </w:rPr>
  </w:style>
  <w:style w:type="paragraph" w:styleId="977" w:customStyle="1">
    <w:name w:val="Tabellenstil 2"/>
    <w:pPr>
      <w:pBdr>
        <w:top w:val="none" w:color="000000" w:sz="4" w:space="0"/>
        <w:left w:val="none" w:color="000000" w:sz="4" w:space="0"/>
        <w:bottom w:val="none" w:color="000000" w:sz="4" w:space="0"/>
        <w:right w:val="none" w:color="000000" w:sz="4" w:space="0"/>
        <w:between w:val="none" w:color="000000" w:sz="4" w:space="0"/>
      </w:pBdr>
      <w:spacing w:after="0" w:line="240" w:lineRule="auto"/>
      <w:ind/>
    </w:pPr>
    <w:rPr>
      <w:rFonts w:ascii="Helvetica Neue" w:hAnsi="Helvetica Neue" w:eastAsia="Arial Unicode MS" w:cs="Arial Unicode MS"/>
      <w:color w:val="000000"/>
      <w:sz w:val="20"/>
      <w:szCs w:val="20"/>
      <w:lang w:eastAsia="zh-CN"/>
      <w14:textOutline w14:w="0" w14:cap="flat" w14:cmpd="sng" w14:algn="ctr">
        <w14:noFill/>
        <w14:prstDash w14:val="solid"/>
        <w14:bevel/>
      </w14:textOutline>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jpg"/><Relationship Id="rId15" Type="http://schemas.openxmlformats.org/officeDocument/2006/relationships/hyperlink" Target="https://www.bag-if.de" TargetMode="External"/><Relationship Id="rId16" Type="http://schemas.openxmlformats.org/officeDocument/2006/relationships/hyperlink" Target="http://www.integrationsaemter.de" TargetMode="External"/><Relationship Id="rId17" Type="http://schemas.openxmlformats.org/officeDocument/2006/relationships/hyperlink" Target="http://www.faf-gmbh.de" TargetMode="External"/><Relationship Id="rId18" Type="http://schemas.openxmlformats.org/officeDocument/2006/relationships/hyperlink" Target="https://www.yumpu.com/de/document/read/71099529/bag-if-jahresbericht-2025/68" TargetMode="External"/><Relationship Id="rId19" Type="http://schemas.openxmlformats.org/officeDocument/2006/relationships/hyperlink" Target="https://www.adac.de/reise-freizeit/ratgeber/tests/test-barrierefreier-oepnv/" TargetMode="External"/><Relationship Id="rId20" Type="http://schemas.openxmlformats.org/officeDocument/2006/relationships/hyperlink" Target="https://www.institut-fuer-menschenrechte.de/publikationen/detail/inklusive-bildung-zwischen-wunsch-und-wirklichkeit" TargetMode="External"/><Relationship Id="rId21" Type="http://schemas.openxmlformats.org/officeDocument/2006/relationships/hyperlink" Target="https://www.institut-fuer-menschenrechte.de/publikationen/detail/schulische-inklusion-wirksam-umsetzen" TargetMode="External"/><Relationship Id="rId22" Type="http://schemas.openxmlformats.org/officeDocument/2006/relationships/hyperlink" Target="https://jahresberichte.bih.de/" TargetMode="External"/><Relationship Id="rId23" Type="http://schemas.openxmlformats.org/officeDocument/2006/relationships/hyperlink" Target="mailto:selbstaktiv@spd.de" TargetMode="External"/><Relationship Id="rId24" Type="http://schemas.openxmlformats.org/officeDocument/2006/relationships/hyperlink" Target="mailto:kurier@selbstaktiv.de" TargetMode="External"/><Relationship Id="rId25" Type="http://schemas.openxmlformats.org/officeDocument/2006/relationships/hyperlink" Target="https://selbstaktiv.spd.de" TargetMode="External"/><Relationship Id="rId26" Type="http://schemas.openxmlformats.org/officeDocument/2006/relationships/hyperlink" Target="https://www.facebook.com/SelbstAktivBuVo" TargetMode="External"/><Relationship Id="rId27" Type="http://schemas.openxmlformats.org/officeDocument/2006/relationships/hyperlink" Target="https://www.instagram.com/selbst_aktiv_bundesvorstand/"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28"/>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de-DE" w:eastAsia="de-DE"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81">
    <w:name w:val="Heading 1 Char"/>
    <w:basedOn w:val="1508"/>
    <w:link w:val="1499"/>
    <w:uiPriority w:val="9"/>
    <w:pPr>
      <w:pBdr/>
      <w:spacing/>
      <w:ind/>
    </w:pPr>
    <w:rPr>
      <w:rFonts w:ascii="Arial" w:hAnsi="Arial" w:eastAsia="Arial" w:cs="Arial"/>
      <w:color w:val="0f4761" w:themeColor="accent1" w:themeShade="BF"/>
      <w:sz w:val="40"/>
      <w:szCs w:val="40"/>
    </w:rPr>
  </w:style>
  <w:style w:type="character" w:styleId="1482">
    <w:name w:val="Heading 2 Char"/>
    <w:basedOn w:val="1508"/>
    <w:link w:val="1500"/>
    <w:uiPriority w:val="9"/>
    <w:pPr>
      <w:pBdr/>
      <w:spacing/>
      <w:ind/>
    </w:pPr>
    <w:rPr>
      <w:rFonts w:ascii="Arial" w:hAnsi="Arial" w:eastAsia="Arial" w:cs="Arial"/>
      <w:color w:val="0f4761" w:themeColor="accent1" w:themeShade="BF"/>
      <w:sz w:val="32"/>
      <w:szCs w:val="32"/>
    </w:rPr>
  </w:style>
  <w:style w:type="character" w:styleId="1483">
    <w:name w:val="Heading 3 Char"/>
    <w:basedOn w:val="1508"/>
    <w:link w:val="1501"/>
    <w:uiPriority w:val="9"/>
    <w:pPr>
      <w:pBdr/>
      <w:spacing/>
      <w:ind/>
    </w:pPr>
    <w:rPr>
      <w:rFonts w:ascii="Arial" w:hAnsi="Arial" w:eastAsia="Arial" w:cs="Arial"/>
      <w:color w:val="0f4761" w:themeColor="accent1" w:themeShade="BF"/>
      <w:sz w:val="28"/>
      <w:szCs w:val="28"/>
    </w:rPr>
  </w:style>
  <w:style w:type="character" w:styleId="1484">
    <w:name w:val="Heading 4 Char"/>
    <w:basedOn w:val="1508"/>
    <w:link w:val="1502"/>
    <w:uiPriority w:val="9"/>
    <w:pPr>
      <w:pBdr/>
      <w:spacing/>
      <w:ind/>
    </w:pPr>
    <w:rPr>
      <w:rFonts w:ascii="Arial" w:hAnsi="Arial" w:eastAsia="Arial" w:cs="Arial"/>
      <w:i/>
      <w:iCs/>
      <w:color w:val="0f4761" w:themeColor="accent1" w:themeShade="BF"/>
    </w:rPr>
  </w:style>
  <w:style w:type="character" w:styleId="1485">
    <w:name w:val="Heading 5 Char"/>
    <w:basedOn w:val="1508"/>
    <w:link w:val="1503"/>
    <w:uiPriority w:val="9"/>
    <w:pPr>
      <w:pBdr/>
      <w:spacing/>
      <w:ind/>
    </w:pPr>
    <w:rPr>
      <w:rFonts w:ascii="Arial" w:hAnsi="Arial" w:eastAsia="Arial" w:cs="Arial"/>
      <w:color w:val="0f4761" w:themeColor="accent1" w:themeShade="BF"/>
    </w:rPr>
  </w:style>
  <w:style w:type="character" w:styleId="1486">
    <w:name w:val="Heading 6 Char"/>
    <w:basedOn w:val="1508"/>
    <w:link w:val="1504"/>
    <w:uiPriority w:val="9"/>
    <w:pPr>
      <w:pBdr/>
      <w:spacing/>
      <w:ind/>
    </w:pPr>
    <w:rPr>
      <w:rFonts w:ascii="Arial" w:hAnsi="Arial" w:eastAsia="Arial" w:cs="Arial"/>
      <w:i/>
      <w:iCs/>
      <w:color w:val="595959" w:themeColor="text1" w:themeTint="A6"/>
    </w:rPr>
  </w:style>
  <w:style w:type="character" w:styleId="1487">
    <w:name w:val="Heading 7 Char"/>
    <w:basedOn w:val="1508"/>
    <w:link w:val="1505"/>
    <w:uiPriority w:val="9"/>
    <w:pPr>
      <w:pBdr/>
      <w:spacing/>
      <w:ind/>
    </w:pPr>
    <w:rPr>
      <w:rFonts w:ascii="Arial" w:hAnsi="Arial" w:eastAsia="Arial" w:cs="Arial"/>
      <w:color w:val="595959" w:themeColor="text1" w:themeTint="A6"/>
    </w:rPr>
  </w:style>
  <w:style w:type="character" w:styleId="1488">
    <w:name w:val="Heading 8 Char"/>
    <w:basedOn w:val="1508"/>
    <w:link w:val="1506"/>
    <w:uiPriority w:val="9"/>
    <w:pPr>
      <w:pBdr/>
      <w:spacing/>
      <w:ind/>
    </w:pPr>
    <w:rPr>
      <w:rFonts w:ascii="Arial" w:hAnsi="Arial" w:eastAsia="Arial" w:cs="Arial"/>
      <w:i/>
      <w:iCs/>
      <w:color w:val="272727" w:themeColor="text1" w:themeTint="D8"/>
    </w:rPr>
  </w:style>
  <w:style w:type="character" w:styleId="1489">
    <w:name w:val="Heading 9 Char"/>
    <w:basedOn w:val="1508"/>
    <w:link w:val="1507"/>
    <w:uiPriority w:val="9"/>
    <w:pPr>
      <w:pBdr/>
      <w:spacing/>
      <w:ind/>
    </w:pPr>
    <w:rPr>
      <w:rFonts w:ascii="Arial" w:hAnsi="Arial" w:eastAsia="Arial" w:cs="Arial"/>
      <w:i/>
      <w:iCs/>
      <w:color w:val="272727" w:themeColor="text1" w:themeTint="D8"/>
    </w:rPr>
  </w:style>
  <w:style w:type="character" w:styleId="1490">
    <w:name w:val="Title Char"/>
    <w:basedOn w:val="1508"/>
    <w:link w:val="1646"/>
    <w:uiPriority w:val="10"/>
    <w:pPr>
      <w:pBdr/>
      <w:spacing/>
      <w:ind/>
    </w:pPr>
    <w:rPr>
      <w:rFonts w:ascii="Arial" w:hAnsi="Arial" w:eastAsia="Arial" w:cs="Arial"/>
      <w:spacing w:val="-10"/>
      <w:sz w:val="56"/>
      <w:szCs w:val="56"/>
    </w:rPr>
  </w:style>
  <w:style w:type="character" w:styleId="1491">
    <w:name w:val="Subtitle Char"/>
    <w:basedOn w:val="1508"/>
    <w:link w:val="1648"/>
    <w:uiPriority w:val="11"/>
    <w:pPr>
      <w:pBdr/>
      <w:spacing/>
      <w:ind/>
    </w:pPr>
    <w:rPr>
      <w:color w:val="595959" w:themeColor="text1" w:themeTint="A6"/>
      <w:spacing w:val="15"/>
      <w:sz w:val="28"/>
      <w:szCs w:val="28"/>
    </w:rPr>
  </w:style>
  <w:style w:type="character" w:styleId="1492">
    <w:name w:val="Quote Char"/>
    <w:basedOn w:val="1508"/>
    <w:link w:val="1650"/>
    <w:uiPriority w:val="29"/>
    <w:pPr>
      <w:pBdr/>
      <w:spacing/>
      <w:ind/>
    </w:pPr>
    <w:rPr>
      <w:i/>
      <w:iCs/>
      <w:color w:val="404040" w:themeColor="text1" w:themeTint="BF"/>
    </w:rPr>
  </w:style>
  <w:style w:type="character" w:styleId="1493">
    <w:name w:val="Intense Quote Char"/>
    <w:basedOn w:val="1508"/>
    <w:link w:val="1654"/>
    <w:uiPriority w:val="30"/>
    <w:pPr>
      <w:pBdr/>
      <w:spacing/>
      <w:ind/>
    </w:pPr>
    <w:rPr>
      <w:i/>
      <w:iCs/>
      <w:color w:val="0f4761" w:themeColor="accent1" w:themeShade="BF"/>
    </w:rPr>
  </w:style>
  <w:style w:type="character" w:styleId="1494">
    <w:name w:val="Header Char"/>
    <w:basedOn w:val="1508"/>
    <w:link w:val="1663"/>
    <w:uiPriority w:val="99"/>
    <w:pPr>
      <w:pBdr/>
      <w:spacing/>
      <w:ind/>
    </w:pPr>
  </w:style>
  <w:style w:type="character" w:styleId="1495">
    <w:name w:val="Footer Char"/>
    <w:basedOn w:val="1508"/>
    <w:link w:val="1665"/>
    <w:uiPriority w:val="99"/>
    <w:pPr>
      <w:pBdr/>
      <w:spacing/>
      <w:ind/>
    </w:pPr>
  </w:style>
  <w:style w:type="character" w:styleId="1496">
    <w:name w:val="Footnote Text Char"/>
    <w:basedOn w:val="1508"/>
    <w:link w:val="1668"/>
    <w:uiPriority w:val="99"/>
    <w:semiHidden/>
    <w:pPr>
      <w:pBdr/>
      <w:spacing/>
      <w:ind/>
    </w:pPr>
    <w:rPr>
      <w:sz w:val="20"/>
      <w:szCs w:val="20"/>
    </w:rPr>
  </w:style>
  <w:style w:type="character" w:styleId="1497">
    <w:name w:val="Endnote Text Char"/>
    <w:basedOn w:val="1508"/>
    <w:link w:val="1671"/>
    <w:uiPriority w:val="99"/>
    <w:semiHidden/>
    <w:pPr>
      <w:pBdr/>
      <w:spacing/>
      <w:ind/>
    </w:pPr>
    <w:rPr>
      <w:sz w:val="20"/>
      <w:szCs w:val="20"/>
    </w:rPr>
  </w:style>
  <w:style w:type="paragraph" w:styleId="1498" w:default="1">
    <w:name w:val="Normal"/>
    <w:qFormat/>
    <w:pPr>
      <w:pBdr/>
      <w:spacing/>
      <w:ind/>
    </w:pPr>
  </w:style>
  <w:style w:type="paragraph" w:styleId="1499">
    <w:name w:val="Heading 1"/>
    <w:basedOn w:val="1498"/>
    <w:next w:val="1498"/>
    <w:link w:val="1637"/>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500">
    <w:name w:val="Heading 2"/>
    <w:basedOn w:val="1498"/>
    <w:next w:val="1498"/>
    <w:link w:val="1638"/>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501">
    <w:name w:val="Heading 3"/>
    <w:basedOn w:val="1498"/>
    <w:next w:val="1498"/>
    <w:link w:val="1639"/>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502">
    <w:name w:val="Heading 4"/>
    <w:basedOn w:val="1498"/>
    <w:next w:val="1498"/>
    <w:link w:val="1640"/>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503">
    <w:name w:val="Heading 5"/>
    <w:basedOn w:val="1498"/>
    <w:next w:val="1498"/>
    <w:link w:val="164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504">
    <w:name w:val="Heading 6"/>
    <w:basedOn w:val="1498"/>
    <w:next w:val="1498"/>
    <w:link w:val="1642"/>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1505">
    <w:name w:val="Heading 7"/>
    <w:basedOn w:val="1498"/>
    <w:next w:val="1498"/>
    <w:link w:val="1643"/>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1506">
    <w:name w:val="Heading 8"/>
    <w:basedOn w:val="1498"/>
    <w:next w:val="1498"/>
    <w:link w:val="1644"/>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1507">
    <w:name w:val="Heading 9"/>
    <w:basedOn w:val="1498"/>
    <w:next w:val="1498"/>
    <w:link w:val="1645"/>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1508" w:default="1">
    <w:name w:val="Default Paragraph Font"/>
    <w:uiPriority w:val="1"/>
    <w:semiHidden/>
    <w:unhideWhenUsed/>
    <w:pPr>
      <w:pBdr/>
      <w:spacing/>
      <w:ind/>
    </w:pPr>
  </w:style>
  <w:style w:type="table" w:styleId="15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510" w:default="1">
    <w:name w:val="No List"/>
    <w:uiPriority w:val="99"/>
    <w:semiHidden/>
    <w:unhideWhenUsed/>
    <w:pPr>
      <w:pBdr/>
      <w:spacing/>
      <w:ind/>
    </w:pPr>
  </w:style>
  <w:style w:type="table" w:styleId="1511">
    <w:name w:val="Table Grid"/>
    <w:basedOn w:val="1509"/>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2" w:customStyle="1">
    <w:name w:val="Table Grid Light"/>
    <w:basedOn w:val="1509"/>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3">
    <w:name w:val="Plain Table 1"/>
    <w:basedOn w:val="1509"/>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4">
    <w:name w:val="Plain Table 2"/>
    <w:basedOn w:val="1509"/>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5">
    <w:name w:val="Plain Table 3"/>
    <w:basedOn w:val="1509"/>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6">
    <w:name w:val="Plain Table 4"/>
    <w:basedOn w:val="1509"/>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7">
    <w:name w:val="Plain Table 5"/>
    <w:basedOn w:val="1509"/>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8">
    <w:name w:val="Grid Table 1 Light"/>
    <w:basedOn w:val="1509"/>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9" w:customStyle="1">
    <w:name w:val="Grid Table 1 Light - Accent 1"/>
    <w:basedOn w:val="1509"/>
    <w:uiPriority w:val="99"/>
    <w:pPr>
      <w:pBdr/>
      <w:spacing/>
      <w:ind/>
    </w:pPr>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4ab2e1"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0" w:customStyle="1">
    <w:name w:val="Grid Table 1 Light - Accent 2"/>
    <w:basedOn w:val="1509"/>
    <w:uiPriority w:val="99"/>
    <w:pPr>
      <w:pBdr/>
      <w:spacing/>
      <w:ind/>
    </w:pPr>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2ab87"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1" w:customStyle="1">
    <w:name w:val="Grid Table 1 Light - Accent 3"/>
    <w:basedOn w:val="1509"/>
    <w:uiPriority w:val="99"/>
    <w:pPr>
      <w:pBdr/>
      <w:spacing/>
      <w:ind/>
    </w:pPr>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4bd55e"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2" w:customStyle="1">
    <w:name w:val="Grid Table 1 Light - Accent 4"/>
    <w:basedOn w:val="1509"/>
    <w:uiPriority w:val="99"/>
    <w:pPr>
      <w:pBdr/>
      <w:spacing/>
      <w:ind/>
    </w:pPr>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4ccf4"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3" w:customStyle="1">
    <w:name w:val="Grid Table 1 Light - Accent 5"/>
    <w:basedOn w:val="1509"/>
    <w:uiPriority w:val="99"/>
    <w:pPr>
      <w:pBdr/>
      <w:spacing/>
      <w:ind/>
    </w:pPr>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971c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4" w:customStyle="1">
    <w:name w:val="Grid Table 1 Light - Accent 6"/>
    <w:basedOn w:val="1509"/>
    <w:uiPriority w:val="99"/>
    <w:pPr>
      <w:pBdr/>
      <w:spacing/>
      <w:ind/>
    </w:pPr>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0d976"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5">
    <w:name w:val="Grid Table 2"/>
    <w:basedOn w:val="1509"/>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6" w:customStyle="1">
    <w:name w:val="Grid Table 2 - Accent 1"/>
    <w:basedOn w:val="1509"/>
    <w:uiPriority w:val="99"/>
    <w:pPr>
      <w:pBdr/>
      <w:spacing/>
      <w:ind/>
    </w:pPr>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Pr>
    <w:tcPr>
      <w:tcBorders/>
    </w:tcPr>
    <w:tblStylePr w:type="band1Horz">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1Vert">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19729b"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19729b"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7" w:customStyle="1">
    <w:name w:val="Grid Table 2 - Accent 2"/>
    <w:basedOn w:val="1509"/>
    <w:uiPriority w:val="99"/>
    <w:pPr>
      <w:pBdr/>
      <w:spacing/>
      <w:ind/>
    </w:pPr>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2aa8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2aa8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8" w:customStyle="1">
    <w:name w:val="Grid Table 2 - Accent 3"/>
    <w:basedOn w:val="1509"/>
    <w:uiPriority w:val="99"/>
    <w:pPr>
      <w:pBdr/>
      <w:spacing/>
      <w:ind/>
    </w:pPr>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196c24"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196c24"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9" w:customStyle="1">
    <w:name w:val="Grid Table 2 - Accent 4"/>
    <w:basedOn w:val="1509"/>
    <w:uiPriority w:val="99"/>
    <w:pPr>
      <w:pBdr/>
      <w:spacing/>
      <w:ind/>
    </w:pPr>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fcaf3"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fcaf3"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0" w:customStyle="1">
    <w:name w:val="Grid Table 2 - Accent 5"/>
    <w:basedOn w:val="1509"/>
    <w:uiPriority w:val="99"/>
    <w:pPr>
      <w:pBdr/>
      <w:spacing/>
      <w:ind/>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02b93"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02b93"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1" w:customStyle="1">
    <w:name w:val="Grid Table 2 - Accent 6"/>
    <w:basedOn w:val="1509"/>
    <w:uiPriority w:val="99"/>
    <w:pPr>
      <w:pBdr/>
      <w:spacing/>
      <w:ind/>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ea72e"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ea72e"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2">
    <w:name w:val="Grid Table 3"/>
    <w:basedOn w:val="1509"/>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3" w:customStyle="1">
    <w:name w:val="Grid Table 3 - Accent 1"/>
    <w:basedOn w:val="1509"/>
    <w:uiPriority w:val="99"/>
    <w:pPr>
      <w:pBdr/>
      <w:spacing/>
      <w:ind/>
    </w:pPr>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Pr>
    <w:tcPr>
      <w:tcBorders/>
    </w:tcPr>
    <w:tblStylePr w:type="band1Horz">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1Vert">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4" w:customStyle="1">
    <w:name w:val="Grid Table 3 - Accent 2"/>
    <w:basedOn w:val="1509"/>
    <w:uiPriority w:val="99"/>
    <w:pPr>
      <w:pBdr/>
      <w:spacing/>
      <w:ind/>
    </w:pPr>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5" w:customStyle="1">
    <w:name w:val="Grid Table 3 - Accent 3"/>
    <w:basedOn w:val="1509"/>
    <w:uiPriority w:val="99"/>
    <w:pPr>
      <w:pBdr/>
      <w:spacing/>
      <w:ind/>
    </w:pPr>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6" w:customStyle="1">
    <w:name w:val="Grid Table 3 - Accent 4"/>
    <w:basedOn w:val="1509"/>
    <w:uiPriority w:val="99"/>
    <w:pPr>
      <w:pBdr/>
      <w:spacing/>
      <w:ind/>
    </w:pPr>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7" w:customStyle="1">
    <w:name w:val="Grid Table 3 - Accent 5"/>
    <w:basedOn w:val="1509"/>
    <w:uiPriority w:val="99"/>
    <w:pPr>
      <w:pBdr/>
      <w:spacing/>
      <w:ind/>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8" w:customStyle="1">
    <w:name w:val="Grid Table 3 - Accent 6"/>
    <w:basedOn w:val="1509"/>
    <w:uiPriority w:val="99"/>
    <w:pPr>
      <w:pBdr/>
      <w:spacing/>
      <w:ind/>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9">
    <w:name w:val="Grid Table 4"/>
    <w:basedOn w:val="1509"/>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0" w:customStyle="1">
    <w:name w:val="Grid Table 4 - Accent 1"/>
    <w:basedOn w:val="1509"/>
    <w:uiPriority w:val="59"/>
    <w:pPr>
      <w:pBdr/>
      <w:spacing/>
      <w:ind/>
    </w:pPr>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insideV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c2e5f5"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c2e5f5"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729b" w:themeColor="accent1" w:themeTint="EA" w:fill="19729b" w:themeFill="accent1" w:themeFillTint="EA"/>
        <w:tcBorders>
          <w:top w:val="single" w:color="19729b" w:themeColor="accent1" w:themeTint="EA" w:sz="4" w:space="0"/>
          <w:left w:val="single" w:color="19729b" w:themeColor="accent1" w:themeTint="EA" w:sz="4" w:space="0"/>
          <w:bottom w:val="single" w:color="19729b" w:themeColor="accent1" w:themeTint="EA" w:sz="4" w:space="0"/>
          <w:right w:val="single" w:color="19729b"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729b"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1" w:customStyle="1">
    <w:name w:val="Grid Table 4 - Accent 2"/>
    <w:basedOn w:val="1509"/>
    <w:uiPriority w:val="59"/>
    <w:pPr>
      <w:pBdr/>
      <w:spacing/>
      <w:ind/>
    </w:pPr>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insideV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2aa85" w:themeColor="accent2" w:themeTint="97" w:fill="f2aa85" w:themeFill="accent2" w:themeFillTint="97"/>
        <w:tc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2aa8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2" w:customStyle="1">
    <w:name w:val="Grid Table 4 - Accent 3"/>
    <w:basedOn w:val="1509"/>
    <w:uiPriority w:val="59"/>
    <w:pPr>
      <w:pBdr/>
      <w:spacing/>
      <w:ind/>
    </w:pPr>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insideV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6c24" w:themeColor="accent3" w:themeTint="FE" w:fill="196c24" w:themeFill="accent3" w:themeFillTint="FE"/>
        <w:tc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6c24"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3" w:customStyle="1">
    <w:name w:val="Grid Table 4 - Accent 4"/>
    <w:basedOn w:val="1509"/>
    <w:uiPriority w:val="59"/>
    <w:pPr>
      <w:pBdr/>
      <w:spacing/>
      <w:ind/>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insideV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fcaf3" w:themeColor="accent4" w:themeTint="9A" w:fill="5fcaf3" w:themeFill="accent4" w:themeFillTint="9A"/>
        <w:tc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fcaf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4" w:customStyle="1">
    <w:name w:val="Grid Table 4 - Accent 5"/>
    <w:basedOn w:val="1509"/>
    <w:uiPriority w:val="59"/>
    <w:pPr>
      <w:pBdr/>
      <w:spacing/>
      <w:ind/>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op w:val="single" w:color="a02b93" w:themeColor="accent5" w:sz="4" w:space="0"/>
          <w:left w:val="single" w:color="a02b93" w:themeColor="accent5" w:sz="4" w:space="0"/>
          <w:bottom w:val="single" w:color="a02b93" w:themeColor="accent5" w:sz="4" w:space="0"/>
          <w:right w:val="single" w:color="a02b93"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02b93"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5" w:customStyle="1">
    <w:name w:val="Grid Table 4 - Accent 6"/>
    <w:basedOn w:val="1509"/>
    <w:uiPriority w:val="59"/>
    <w:pPr>
      <w:pBdr/>
      <w:spacing/>
      <w:ind/>
    </w:pPr>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op w:val="single" w:color="4ea72e" w:themeColor="accent6" w:sz="4" w:space="0"/>
          <w:left w:val="single" w:color="4ea72e" w:themeColor="accent6" w:sz="4" w:space="0"/>
          <w:bottom w:val="single" w:color="4ea72e" w:themeColor="accent6" w:sz="4" w:space="0"/>
          <w:right w:val="single" w:color="4ea72e"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ea72e"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6">
    <w:name w:val="Grid Table 5 Dark"/>
    <w:basedOn w:val="1509"/>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7" w:customStyle="1">
    <w:name w:val="Grid Table 5 Dark- Accent 1"/>
    <w:basedOn w:val="1509"/>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e4f4" w:themeColor="accent1" w:themeTint="34" w:fill="bfe4f4" w:themeFill="accent1" w:themeFillTint="34"/>
    </w:tblPr>
    <w:tcPr>
      <w:tcBorders/>
    </w:tcPr>
    <w:tblStylePr w:type="band1Horz">
      <w:pPr>
        <w:pBdr/>
        <w:spacing/>
        <w:ind/>
      </w:pPr>
      <w:tblPr>
        <w:tblBorders/>
      </w:tblPr>
      <w:tcPr>
        <w:shd w:val="clear" w:color="70c2e8" w:themeColor="accent1" w:themeTint="75" w:fill="70c2e8" w:themeFill="accent1" w:themeFillTint="75"/>
        <w:tcBorders/>
      </w:tcPr>
    </w:tblStylePr>
    <w:tblStylePr w:type="band1Vert">
      <w:pPr>
        <w:pBdr/>
        <w:spacing/>
        <w:ind/>
      </w:pPr>
      <w:tblPr>
        <w:tblBorders/>
      </w:tblPr>
      <w:tcPr>
        <w:shd w:val="clear" w:color="70c2e8" w:themeColor="accent1" w:themeTint="75" w:fill="70c2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156082" w:themeColor="accent1" w:fill="156082" w:themeFill="accent1"/>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rFonts w:ascii="Arial" w:hAnsi="Arial"/>
        <w:b/>
        <w:color w:val="ffffff"/>
        <w:sz w:val="22"/>
      </w:rPr>
      <w:pPr>
        <w:pBdr/>
        <w:spacing/>
        <w:ind/>
      </w:pPr>
      <w:tblPr>
        <w:tblBorders/>
      </w:tblPr>
      <w:tcPr>
        <w:shd w:val="clear" w:color="156082" w:themeColor="accent1" w:fill="156082" w:themeFill="accent1"/>
        <w:tcBorders/>
      </w:tcPr>
    </w:tblStylePr>
    <w:tblStylePr w:type="lastRow">
      <w:rPr>
        <w:rFonts w:ascii="Arial" w:hAnsi="Arial"/>
        <w:b/>
        <w:color w:val="ffffff"/>
        <w:sz w:val="22"/>
      </w:rPr>
      <w:pPr>
        <w:pBdr/>
        <w:spacing/>
        <w:ind/>
      </w:pPr>
      <w:tblPr>
        <w:tblBorders/>
      </w:tblPr>
      <w:tcPr>
        <w:shd w:val="clear" w:color="156082" w:themeColor="accent1" w:fill="156082"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8" w:customStyle="1">
    <w:name w:val="Grid Table 5 Dark - Accent 2"/>
    <w:basedOn w:val="1509"/>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ae2d6" w:themeColor="accent2" w:themeTint="32" w:fill="fae2d6" w:themeFill="accent2" w:themeFillTint="32"/>
    </w:tblPr>
    <w:tcPr>
      <w:tcBorders/>
    </w:tcPr>
    <w:tblStylePr w:type="band1Horz">
      <w:pPr>
        <w:pBdr/>
        <w:spacing/>
        <w:ind/>
      </w:pPr>
      <w:tblPr>
        <w:tblBorders/>
      </w:tblPr>
      <w:tcPr>
        <w:shd w:val="clear" w:color="f5bda0" w:themeColor="accent2" w:themeTint="75" w:fill="f5bda0" w:themeFill="accent2" w:themeFillTint="75"/>
        <w:tcBorders/>
      </w:tcPr>
    </w:tblStylePr>
    <w:tblStylePr w:type="band1Vert">
      <w:pPr>
        <w:pBdr/>
        <w:spacing/>
        <w:ind/>
      </w:pPr>
      <w:tblPr>
        <w:tblBorders/>
      </w:tblPr>
      <w:tcPr>
        <w:shd w:val="clear" w:color="f5bda0" w:themeColor="accent2" w:themeTint="75" w:fill="f5bd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97132" w:themeColor="accent2" w:fill="e97132" w:themeFill="accent2"/>
        <w:tcBorders/>
      </w:tcPr>
    </w:tblStylePr>
    <w:tblStylePr w:type="firstRow">
      <w:rPr>
        <w:rFonts w:ascii="Arial" w:hAnsi="Arial"/>
        <w:b/>
        <w:color w:val="ffffff"/>
        <w:sz w:val="22"/>
      </w:rPr>
      <w:pPr>
        <w:pBdr/>
        <w:spacing/>
        <w:ind/>
      </w:pPr>
      <w:tblPr>
        <w:tblBorders/>
      </w:tblPr>
      <w:tcPr>
        <w:shd w:val="clear" w:color="e97132" w:themeColor="accent2" w:fill="e97132" w:themeFill="accent2"/>
        <w:tcBorders/>
      </w:tcPr>
    </w:tblStylePr>
    <w:tblStylePr w:type="lastCol">
      <w:rPr>
        <w:rFonts w:ascii="Arial" w:hAnsi="Arial"/>
        <w:b/>
        <w:color w:val="ffffff"/>
        <w:sz w:val="22"/>
      </w:rPr>
      <w:pPr>
        <w:pBdr/>
        <w:spacing/>
        <w:ind/>
      </w:pPr>
      <w:tblPr>
        <w:tblBorders/>
      </w:tblPr>
      <w:tcPr>
        <w:shd w:val="clear" w:color="e97132" w:themeColor="accent2" w:fill="e97132" w:themeFill="accent2"/>
        <w:tcBorders/>
      </w:tcPr>
    </w:tblStylePr>
    <w:tblStylePr w:type="lastRow">
      <w:rPr>
        <w:rFonts w:ascii="Arial" w:hAnsi="Arial"/>
        <w:b/>
        <w:color w:val="ffffff"/>
        <w:sz w:val="22"/>
      </w:rPr>
      <w:pPr>
        <w:pBdr/>
        <w:spacing/>
        <w:ind/>
      </w:pPr>
      <w:tblPr>
        <w:tblBorders/>
      </w:tblPr>
      <w:tcPr>
        <w:shd w:val="clear" w:color="e97132" w:themeColor="accent2" w:fill="e97132"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9" w:customStyle="1">
    <w:name w:val="Grid Table 5 Dark - Accent 3"/>
    <w:basedOn w:val="1509"/>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0f0c6" w:themeColor="accent3" w:themeTint="34" w:fill="c0f0c6" w:themeFill="accent3" w:themeFillTint="34"/>
    </w:tblPr>
    <w:tcPr>
      <w:tcBorders/>
    </w:tcPr>
    <w:tblStylePr w:type="band1Horz">
      <w:pPr>
        <w:pBdr/>
        <w:spacing/>
        <w:ind/>
      </w:pPr>
      <w:tblPr>
        <w:tblBorders/>
      </w:tblPr>
      <w:tcPr>
        <w:shd w:val="clear" w:color="72de80" w:themeColor="accent3" w:themeTint="75" w:fill="72de80" w:themeFill="accent3" w:themeFillTint="75"/>
        <w:tcBorders/>
      </w:tcPr>
    </w:tblStylePr>
    <w:tblStylePr w:type="band1Vert">
      <w:pPr>
        <w:pBdr/>
        <w:spacing/>
        <w:ind/>
      </w:pPr>
      <w:tblPr>
        <w:tblBorders/>
      </w:tblPr>
      <w:tcPr>
        <w:shd w:val="clear" w:color="72de80" w:themeColor="accent3" w:themeTint="75" w:fill="72de80"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196b24" w:themeColor="accent3" w:fill="196b24" w:themeFill="accent3"/>
        <w:tcBorders/>
      </w:tcPr>
    </w:tblStylePr>
    <w:tblStylePr w:type="firstRow">
      <w:rPr>
        <w:rFonts w:ascii="Arial" w:hAnsi="Arial"/>
        <w:b/>
        <w:color w:val="ffffff"/>
        <w:sz w:val="22"/>
      </w:rPr>
      <w:pPr>
        <w:pBdr/>
        <w:spacing/>
        <w:ind/>
      </w:pPr>
      <w:tblPr>
        <w:tblBorders/>
      </w:tblPr>
      <w:tcPr>
        <w:shd w:val="clear" w:color="196b24" w:themeColor="accent3" w:fill="196b24" w:themeFill="accent3"/>
        <w:tcBorders/>
      </w:tcPr>
    </w:tblStylePr>
    <w:tblStylePr w:type="lastCol">
      <w:rPr>
        <w:rFonts w:ascii="Arial" w:hAnsi="Arial"/>
        <w:b/>
        <w:color w:val="ffffff"/>
        <w:sz w:val="22"/>
      </w:rPr>
      <w:pPr>
        <w:pBdr/>
        <w:spacing/>
        <w:ind/>
      </w:pPr>
      <w:tblPr>
        <w:tblBorders/>
      </w:tblPr>
      <w:tcPr>
        <w:shd w:val="clear" w:color="196b24" w:themeColor="accent3" w:fill="196b24" w:themeFill="accent3"/>
        <w:tcBorders/>
      </w:tcPr>
    </w:tblStylePr>
    <w:tblStylePr w:type="lastRow">
      <w:rPr>
        <w:rFonts w:ascii="Arial" w:hAnsi="Arial"/>
        <w:b/>
        <w:color w:val="ffffff"/>
        <w:sz w:val="22"/>
      </w:rPr>
      <w:pPr>
        <w:pBdr/>
        <w:spacing/>
        <w:ind/>
      </w:pPr>
      <w:tblPr>
        <w:tblBorders/>
      </w:tblPr>
      <w:tcPr>
        <w:shd w:val="clear" w:color="196b24" w:themeColor="accent3" w:fill="196b24"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0" w:customStyle="1">
    <w:name w:val="Grid Table 5 Dark- Accent 4"/>
    <w:basedOn w:val="1509"/>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9edfb" w:themeColor="accent4" w:themeTint="34" w:fill="c9edfb" w:themeFill="accent4" w:themeFillTint="34"/>
    </w:tblPr>
    <w:tcPr>
      <w:tcBorders/>
    </w:tcPr>
    <w:tblStylePr w:type="band1Horz">
      <w:pPr>
        <w:pBdr/>
        <w:spacing/>
        <w:ind/>
      </w:pPr>
      <w:tblPr>
        <w:tblBorders/>
      </w:tblPr>
      <w:tcPr>
        <w:shd w:val="clear" w:color="85d7f6" w:themeColor="accent4" w:themeTint="75" w:fill="85d7f6" w:themeFill="accent4" w:themeFillTint="75"/>
        <w:tcBorders/>
      </w:tcPr>
    </w:tblStylePr>
    <w:tblStylePr w:type="band1Vert">
      <w:pPr>
        <w:pBdr/>
        <w:spacing/>
        <w:ind/>
      </w:pPr>
      <w:tblPr>
        <w:tblBorders/>
      </w:tblPr>
      <w:tcPr>
        <w:shd w:val="clear" w:color="85d7f6" w:themeColor="accent4" w:themeTint="75" w:fill="85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f9ed5" w:themeColor="accent4" w:fill="0f9ed5" w:themeFill="accent4"/>
        <w:tcBorders/>
      </w:tcPr>
    </w:tblStylePr>
    <w:tblStylePr w:type="firstRow">
      <w:rPr>
        <w:rFonts w:ascii="Arial" w:hAnsi="Arial"/>
        <w:b/>
        <w:color w:val="ffffff"/>
        <w:sz w:val="22"/>
      </w:rPr>
      <w:pPr>
        <w:pBdr/>
        <w:spacing/>
        <w:ind/>
      </w:pPr>
      <w:tblPr>
        <w:tblBorders/>
      </w:tblPr>
      <w:tcPr>
        <w:shd w:val="clear" w:color="0f9ed5" w:themeColor="accent4" w:fill="0f9ed5" w:themeFill="accent4"/>
        <w:tcBorders/>
      </w:tcPr>
    </w:tblStylePr>
    <w:tblStylePr w:type="lastCol">
      <w:rPr>
        <w:rFonts w:ascii="Arial" w:hAnsi="Arial"/>
        <w:b/>
        <w:color w:val="ffffff"/>
        <w:sz w:val="22"/>
      </w:rPr>
      <w:pPr>
        <w:pBdr/>
        <w:spacing/>
        <w:ind/>
      </w:pPr>
      <w:tblPr>
        <w:tblBorders/>
      </w:tblPr>
      <w:tcPr>
        <w:shd w:val="clear" w:color="0f9ed5" w:themeColor="accent4" w:fill="0f9ed5" w:themeFill="accent4"/>
        <w:tcBorders/>
      </w:tcPr>
    </w:tblStylePr>
    <w:tblStylePr w:type="lastRow">
      <w:rPr>
        <w:rFonts w:ascii="Arial" w:hAnsi="Arial"/>
        <w:b/>
        <w:color w:val="ffffff"/>
        <w:sz w:val="22"/>
      </w:rPr>
      <w:pPr>
        <w:pBdr/>
        <w:spacing/>
        <w:ind/>
      </w:pPr>
      <w:tblPr>
        <w:tblBorders/>
      </w:tblPr>
      <w:tcPr>
        <w:shd w:val="clear" w:color="0f9ed5" w:themeColor="accent4" w:fill="0f9ed5"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1" w:customStyle="1">
    <w:name w:val="Grid Table 5 Dark - Accent 5"/>
    <w:basedOn w:val="1509"/>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1cded" w:themeColor="accent5" w:themeTint="34" w:fill="f1cded" w:themeFill="accent5" w:themeFillTint="34"/>
    </w:tblPr>
    <w:tcPr>
      <w:tcBorders/>
    </w:tcPr>
    <w:tblStylePr w:type="band1Horz">
      <w:pPr>
        <w:pBdr/>
        <w:spacing/>
        <w:ind/>
      </w:pPr>
      <w:tblPr>
        <w:tblBorders/>
      </w:tblPr>
      <w:tcPr>
        <w:shd w:val="clear" w:color="e18fd7" w:themeColor="accent5" w:themeTint="75" w:fill="e18fd7" w:themeFill="accent5" w:themeFillTint="75"/>
        <w:tcBorders/>
      </w:tcPr>
    </w:tblStylePr>
    <w:tblStylePr w:type="band1Vert">
      <w:pPr>
        <w:pBdr/>
        <w:spacing/>
        <w:ind/>
      </w:pPr>
      <w:tblPr>
        <w:tblBorders/>
      </w:tblPr>
      <w:tcPr>
        <w:shd w:val="clear" w:color="e18fd7" w:themeColor="accent5" w:themeTint="75" w:fill="e18fd7"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02b93" w:themeColor="accent5" w:fill="a02b93" w:themeFill="accent5"/>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cPr>
    </w:tblStylePr>
    <w:tblStylePr w:type="lastCol">
      <w:rPr>
        <w:rFonts w:ascii="Arial" w:hAnsi="Arial"/>
        <w:b/>
        <w:color w:val="ffffff"/>
        <w:sz w:val="22"/>
      </w:rPr>
      <w:pPr>
        <w:pBdr/>
        <w:spacing/>
        <w:ind/>
      </w:pPr>
      <w:tblPr>
        <w:tblBorders/>
      </w:tblPr>
      <w:tcPr>
        <w:shd w:val="clear" w:color="a02b93" w:themeColor="accent5" w:fill="a02b93" w:themeFill="accent5"/>
        <w:tcBorders/>
      </w:tcPr>
    </w:tblStylePr>
    <w:tblStylePr w:type="lastRow">
      <w:rPr>
        <w:rFonts w:ascii="Arial" w:hAnsi="Arial"/>
        <w:b/>
        <w:color w:val="ffffff"/>
        <w:sz w:val="22"/>
      </w:rPr>
      <w:pPr>
        <w:pBdr/>
        <w:spacing/>
        <w:ind/>
      </w:pPr>
      <w:tblPr>
        <w:tblBorders/>
      </w:tblPr>
      <w:tcPr>
        <w:shd w:val="clear" w:color="a02b93" w:themeColor="accent5" w:fill="a02b93"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2" w:customStyle="1">
    <w:name w:val="Grid Table 5 Dark - Accent 6"/>
    <w:basedOn w:val="1509"/>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f2cf" w:themeColor="accent6" w:themeTint="34" w:fill="d8f2cf" w:themeFill="accent6" w:themeFillTint="34"/>
    </w:tblPr>
    <w:tcPr>
      <w:tcBorders/>
    </w:tcPr>
    <w:tblStylePr w:type="band1Horz">
      <w:pPr>
        <w:pBdr/>
        <w:spacing/>
        <w:ind/>
      </w:pPr>
      <w:tblPr>
        <w:tblBorders/>
      </w:tblPr>
      <w:tcPr>
        <w:shd w:val="clear" w:color="a8e194" w:themeColor="accent6" w:themeTint="75" w:fill="a8e194" w:themeFill="accent6" w:themeFillTint="75"/>
        <w:tcBorders/>
      </w:tcPr>
    </w:tblStylePr>
    <w:tblStylePr w:type="band1Vert">
      <w:pPr>
        <w:pBdr/>
        <w:spacing/>
        <w:ind/>
      </w:pPr>
      <w:tblPr>
        <w:tblBorders/>
      </w:tblPr>
      <w:tcPr>
        <w:shd w:val="clear" w:color="a8e194" w:themeColor="accent6" w:themeTint="75" w:fill="a8e1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ea72e" w:themeColor="accent6" w:fill="4ea72e" w:themeFill="accent6"/>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cPr>
    </w:tblStylePr>
    <w:tblStylePr w:type="lastCol">
      <w:rPr>
        <w:rFonts w:ascii="Arial" w:hAnsi="Arial"/>
        <w:b/>
        <w:color w:val="ffffff"/>
        <w:sz w:val="22"/>
      </w:rPr>
      <w:pPr>
        <w:pBdr/>
        <w:spacing/>
        <w:ind/>
      </w:pPr>
      <w:tblPr>
        <w:tblBorders/>
      </w:tblPr>
      <w:tcPr>
        <w:shd w:val="clear" w:color="4ea72e" w:themeColor="accent6" w:fill="4ea72e" w:themeFill="accent6"/>
        <w:tcBorders/>
      </w:tcPr>
    </w:tblStylePr>
    <w:tblStylePr w:type="lastRow">
      <w:rPr>
        <w:rFonts w:ascii="Arial" w:hAnsi="Arial"/>
        <w:b/>
        <w:color w:val="ffffff"/>
        <w:sz w:val="22"/>
      </w:rPr>
      <w:pPr>
        <w:pBdr/>
        <w:spacing/>
        <w:ind/>
      </w:pPr>
      <w:tblPr>
        <w:tblBorders/>
      </w:tblPr>
      <w:tcPr>
        <w:shd w:val="clear" w:color="4ea72e" w:themeColor="accent6" w:fill="4ea72e"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3">
    <w:name w:val="Grid Table 6 Colorful"/>
    <w:basedOn w:val="1509"/>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4" w:customStyle="1">
    <w:name w:val="Grid Table 6 Colorful - Accent 1"/>
    <w:basedOn w:val="1509"/>
    <w:uiPriority w:val="99"/>
    <w:pPr>
      <w:pBdr/>
      <w:spacing/>
      <w:ind/>
    </w:pPr>
    <w:tblPr>
      <w:tblStyleRowBandSize w:val="1"/>
      <w:tblStyleColBandSize w:val="1"/>
      <w:tblBorders>
        <w:top w:val="single" w:color="63bde6" w:themeColor="accent1" w:themeTint="80" w:sz="4" w:space="0"/>
        <w:left w:val="single" w:color="63bde6" w:themeColor="accent1" w:themeTint="80" w:sz="4" w:space="0"/>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Pr>
    <w:tcPr>
      <w:tcBorders/>
    </w:tcPr>
    <w:tblStylePr w:type="band1Horz">
      <w:rPr>
        <w:rFonts w:ascii="Arial" w:hAnsi="Arial"/>
        <w:color w:val="63bde6" w:themeColor="accent1" w:themeTint="80" w:themeShade="95"/>
        <w:sz w:val="22"/>
      </w:rPr>
      <w:pPr>
        <w:pBdr/>
        <w:spacing/>
        <w:ind/>
      </w:pPr>
      <w:tblPr>
        <w:tblBorders/>
      </w:tblPr>
      <w:tcPr>
        <w:shd w:val="clear" w:color="bfe4f4" w:themeColor="accent1" w:themeTint="34" w:fill="bfe4f4" w:themeFill="accent1" w:themeFillTint="34"/>
        <w:tcBorders/>
      </w:tcPr>
    </w:tblStylePr>
    <w:tblStylePr w:type="band1Vert">
      <w:pPr>
        <w:pBdr/>
        <w:spacing/>
        <w:ind/>
      </w:pPr>
      <w:tblPr>
        <w:tblBorders/>
      </w:tblPr>
      <w:tcPr>
        <w:shd w:val="clear" w:color="bfe4f4" w:themeColor="accent1" w:themeTint="34" w:fill="bfe4f4" w:themeFill="accent1" w:themeFillTint="34"/>
        <w:tcBorders/>
      </w:tcPr>
    </w:tblStylePr>
    <w:tblStylePr w:type="band2Horz">
      <w:rPr>
        <w:rFonts w:ascii="Arial" w:hAnsi="Arial"/>
        <w:color w:val="63bde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3bde6" w:themeColor="accent1" w:themeTint="80" w:themeShade="95"/>
      </w:rPr>
      <w:pPr>
        <w:pBdr/>
        <w:spacing/>
        <w:ind/>
      </w:pPr>
      <w:tblPr>
        <w:tblBorders/>
      </w:tblPr>
      <w:tcPr>
        <w:tcBorders/>
      </w:tcPr>
    </w:tblStylePr>
    <w:tblStylePr w:type="firstRow">
      <w:rPr>
        <w:b/>
        <w:color w:val="63bde6" w:themeColor="accent1" w:themeTint="80" w:themeShade="95"/>
      </w:rPr>
      <w:pPr>
        <w:pBdr/>
        <w:spacing/>
        <w:ind/>
      </w:pPr>
      <w:tblPr>
        <w:tblBorders/>
      </w:tblPr>
      <w:tcPr>
        <w:tcBorders>
          <w:bottom w:val="single" w:color="63bde6" w:themeColor="accent1" w:themeTint="80" w:sz="12" w:space="0"/>
        </w:tcBorders>
      </w:tcPr>
    </w:tblStylePr>
    <w:tblStylePr w:type="lastCol">
      <w:rPr>
        <w:b/>
        <w:color w:val="63bde6" w:themeColor="accent1" w:themeTint="80" w:themeShade="95"/>
      </w:rPr>
      <w:pPr>
        <w:pBdr/>
        <w:spacing/>
        <w:ind/>
      </w:pPr>
      <w:tblPr>
        <w:tblBorders/>
      </w:tblPr>
      <w:tcPr>
        <w:tcBorders/>
      </w:tcPr>
    </w:tblStylePr>
    <w:tblStylePr w:type="lastRow">
      <w:rPr>
        <w:b/>
        <w:color w:val="63bde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5" w:customStyle="1">
    <w:name w:val="Grid Table 6 Colorful - Accent 2"/>
    <w:basedOn w:val="1509"/>
    <w:uiPriority w:val="99"/>
    <w:pPr>
      <w:pBdr/>
      <w:spacing/>
      <w:ind/>
    </w:pPr>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ae2d6" w:themeColor="accent2" w:themeTint="32" w:fill="fae2d6" w:themeFill="accent2" w:themeFillTint="32"/>
        <w:tcBorders/>
      </w:tcPr>
    </w:tblStylePr>
    <w:tblStylePr w:type="band1Vert">
      <w:pPr>
        <w:pBdr/>
        <w:spacing/>
        <w:ind/>
      </w:pPr>
      <w:tblPr>
        <w:tblBorders/>
      </w:tblPr>
      <w:tcPr>
        <w:shd w:val="clear" w:color="fae2d6" w:themeColor="accent2" w:themeTint="32" w:fill="fae2d6" w:themeFill="accent2" w:themeFillTint="32"/>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2aa85" w:themeColor="accent2" w:themeTint="97" w:themeShade="95"/>
      </w:rPr>
      <w:pPr>
        <w:pBdr/>
        <w:spacing/>
        <w:ind/>
      </w:pPr>
      <w:tblPr>
        <w:tblBorders/>
      </w:tblPr>
      <w:tcPr>
        <w:tcBorders/>
      </w:tcPr>
    </w:tblStylePr>
    <w:tblStylePr w:type="firstRow">
      <w:rPr>
        <w:b/>
        <w:color w:val="f2aa85" w:themeColor="accent2" w:themeTint="97" w:themeShade="95"/>
      </w:rPr>
      <w:pPr>
        <w:pBdr/>
        <w:spacing/>
        <w:ind/>
      </w:pPr>
      <w:tblPr>
        <w:tblBorders/>
      </w:tblPr>
      <w:tcPr>
        <w:tcBorders>
          <w:bottom w:val="single" w:color="f2aa85" w:themeColor="accent2" w:themeTint="97" w:sz="12" w:space="0"/>
        </w:tcBorders>
      </w:tcPr>
    </w:tblStylePr>
    <w:tblStylePr w:type="lastCol">
      <w:rPr>
        <w:b/>
        <w:color w:val="f2aa85" w:themeColor="accent2" w:themeTint="97" w:themeShade="95"/>
      </w:rPr>
      <w:pPr>
        <w:pBdr/>
        <w:spacing/>
        <w:ind/>
      </w:pPr>
      <w:tblPr>
        <w:tblBorders/>
      </w:tblPr>
      <w:tcPr>
        <w:tcBorders/>
      </w:tcPr>
    </w:tblStylePr>
    <w:tblStylePr w:type="lastRow">
      <w:rPr>
        <w:b/>
        <w:color w:val="f2aa8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6" w:customStyle="1">
    <w:name w:val="Grid Table 6 Colorful - Accent 3"/>
    <w:basedOn w:val="1509"/>
    <w:uiPriority w:val="99"/>
    <w:pPr>
      <w:pBdr/>
      <w:spacing/>
      <w:ind/>
    </w:pPr>
    <w:tblPr>
      <w:tblStyleRowBandSize w:val="1"/>
      <w:tblStyleColBandSize w:val="1"/>
      <w:tbl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196c24" w:themeColor="accent3" w:themeTint="FE" w:themeShade="95"/>
        <w:sz w:val="22"/>
      </w:rPr>
      <w:pPr>
        <w:pBdr/>
        <w:spacing/>
        <w:ind/>
      </w:pPr>
      <w:tblPr>
        <w:tblBorders/>
      </w:tblPr>
      <w:tcPr>
        <w:shd w:val="clear" w:color="c0f0c6" w:themeColor="accent3" w:themeTint="34" w:fill="c0f0c6" w:themeFill="accent3" w:themeFillTint="34"/>
        <w:tcBorders/>
      </w:tcPr>
    </w:tblStylePr>
    <w:tblStylePr w:type="band1Vert">
      <w:pPr>
        <w:pBdr/>
        <w:spacing/>
        <w:ind/>
      </w:pPr>
      <w:tblPr>
        <w:tblBorders/>
      </w:tblPr>
      <w:tcPr>
        <w:shd w:val="clear" w:color="c0f0c6" w:themeColor="accent3" w:themeTint="34" w:fill="c0f0c6" w:themeFill="accent3" w:themeFillTint="34"/>
        <w:tcBorders/>
      </w:tcPr>
    </w:tblStylePr>
    <w:tblStylePr w:type="band2Horz">
      <w:rPr>
        <w:rFonts w:ascii="Arial" w:hAnsi="Arial"/>
        <w:color w:val="196c24"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96c24" w:themeColor="accent3" w:themeTint="FE" w:themeShade="95"/>
      </w:rPr>
      <w:pPr>
        <w:pBdr/>
        <w:spacing/>
        <w:ind/>
      </w:pPr>
      <w:tblPr>
        <w:tblBorders/>
      </w:tblPr>
      <w:tcPr>
        <w:tcBorders/>
      </w:tcPr>
    </w:tblStylePr>
    <w:tblStylePr w:type="firstRow">
      <w:rPr>
        <w:b/>
        <w:color w:val="196c24" w:themeColor="accent3" w:themeTint="FE" w:themeShade="95"/>
      </w:rPr>
      <w:pPr>
        <w:pBdr/>
        <w:spacing/>
        <w:ind/>
      </w:pPr>
      <w:tblPr>
        <w:tblBorders/>
      </w:tblPr>
      <w:tcPr>
        <w:tcBorders>
          <w:bottom w:val="single" w:color="196c24" w:themeColor="accent3" w:themeTint="FE" w:sz="12" w:space="0"/>
        </w:tcBorders>
      </w:tcPr>
    </w:tblStylePr>
    <w:tblStylePr w:type="lastCol">
      <w:rPr>
        <w:b/>
        <w:color w:val="196c24" w:themeColor="accent3" w:themeTint="FE" w:themeShade="95"/>
      </w:rPr>
      <w:pPr>
        <w:pBdr/>
        <w:spacing/>
        <w:ind/>
      </w:pPr>
      <w:tblPr>
        <w:tblBorders/>
      </w:tblPr>
      <w:tcPr>
        <w:tcBorders/>
      </w:tcPr>
    </w:tblStylePr>
    <w:tblStylePr w:type="lastRow">
      <w:rPr>
        <w:b/>
        <w:color w:val="196c24"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7" w:customStyle="1">
    <w:name w:val="Grid Table 6 Colorful - Accent 4"/>
    <w:basedOn w:val="1509"/>
    <w:uiPriority w:val="99"/>
    <w:pPr>
      <w:pBdr/>
      <w:spacing/>
      <w:ind/>
    </w:pPr>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c9edfb" w:themeColor="accent4" w:themeTint="34" w:fill="c9edfb" w:themeFill="accent4" w:themeFillTint="34"/>
        <w:tcBorders/>
      </w:tcPr>
    </w:tblStylePr>
    <w:tblStylePr w:type="band1Vert">
      <w:pPr>
        <w:pBdr/>
        <w:spacing/>
        <w:ind/>
      </w:pPr>
      <w:tblPr>
        <w:tblBorders/>
      </w:tblPr>
      <w:tcPr>
        <w:shd w:val="clear" w:color="c9edfb" w:themeColor="accent4" w:themeTint="34" w:fill="c9edfb" w:themeFill="accent4" w:themeFillTint="34"/>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caf3" w:themeColor="accent4" w:themeTint="9A" w:themeShade="95"/>
      </w:rPr>
      <w:pPr>
        <w:pBdr/>
        <w:spacing/>
        <w:ind/>
      </w:pPr>
      <w:tblPr>
        <w:tblBorders/>
      </w:tblPr>
      <w:tcPr>
        <w:tcBorders/>
      </w:tcPr>
    </w:tblStylePr>
    <w:tblStylePr w:type="firstRow">
      <w:rPr>
        <w:b/>
        <w:color w:val="5fcaf3" w:themeColor="accent4" w:themeTint="9A" w:themeShade="95"/>
      </w:rPr>
      <w:pPr>
        <w:pBdr/>
        <w:spacing/>
        <w:ind/>
      </w:pPr>
      <w:tblPr>
        <w:tblBorders/>
      </w:tblPr>
      <w:tcPr>
        <w:tcBorders>
          <w:bottom w:val="single" w:color="5fcaf3" w:themeColor="accent4" w:themeTint="9A" w:sz="12" w:space="0"/>
        </w:tcBorders>
      </w:tcPr>
    </w:tblStylePr>
    <w:tblStylePr w:type="lastCol">
      <w:rPr>
        <w:b/>
        <w:color w:val="5fcaf3" w:themeColor="accent4" w:themeTint="9A" w:themeShade="95"/>
      </w:rPr>
      <w:pPr>
        <w:pBdr/>
        <w:spacing/>
        <w:ind/>
      </w:pPr>
      <w:tblPr>
        <w:tblBorders/>
      </w:tblPr>
      <w:tcPr>
        <w:tcBorders/>
      </w:tcPr>
    </w:tblStylePr>
    <w:tblStylePr w:type="lastRow">
      <w:rPr>
        <w:b/>
        <w:color w:val="5fcaf3"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8" w:customStyle="1">
    <w:name w:val="Grid Table 6 Colorful - Accent 5"/>
    <w:basedOn w:val="1509"/>
    <w:uiPriority w:val="99"/>
    <w:pPr>
      <w:pBdr/>
      <w:spacing/>
      <w:ind/>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5d1955" w:themeColor="accent5" w:themeShade="95"/>
        <w:sz w:val="22"/>
      </w:rPr>
      <w:pPr>
        <w:pBdr/>
        <w:spacing/>
        <w:ind/>
      </w:pPr>
      <w:tblPr>
        <w:tblBorders/>
      </w:tblPr>
      <w:tcPr>
        <w:shd w:val="clear" w:color="f1cded" w:themeColor="accent5" w:themeTint="34" w:fill="f1cded" w:themeFill="accent5" w:themeFillTint="34"/>
        <w:tcBorders/>
      </w:tcPr>
    </w:tblStylePr>
    <w:tblStylePr w:type="band1Vert">
      <w:pPr>
        <w:pBdr/>
        <w:spacing/>
        <w:ind/>
      </w:pPr>
      <w:tblPr>
        <w:tblBorders/>
      </w:tblPr>
      <w:tcPr>
        <w:shd w:val="clear" w:color="f1cded" w:themeColor="accent5" w:themeTint="34" w:fill="f1cded" w:themeFill="accent5"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5" w:themeColor="accent5" w:themeShade="95"/>
      </w:rPr>
      <w:pPr>
        <w:pBdr/>
        <w:spacing/>
        <w:ind/>
      </w:pPr>
      <w:tblPr>
        <w:tblBorders/>
      </w:tblPr>
      <w:tcPr>
        <w:tcBorders/>
      </w:tcPr>
    </w:tblStylePr>
    <w:tblStylePr w:type="firstRow">
      <w:rPr>
        <w:b/>
        <w:color w:val="5d1955" w:themeColor="accent5" w:themeShade="95"/>
      </w:rPr>
      <w:pPr>
        <w:pBdr/>
        <w:spacing/>
        <w:ind/>
      </w:pPr>
      <w:tblPr>
        <w:tblBorders/>
      </w:tblPr>
      <w:tcPr>
        <w:tcBorders>
          <w:bottom w:val="single" w:color="a02b93" w:themeColor="accent5" w:sz="12" w:space="0"/>
        </w:tcBorders>
      </w:tcPr>
    </w:tblStylePr>
    <w:tblStylePr w:type="lastCol">
      <w:rPr>
        <w:b/>
        <w:color w:val="5d1955" w:themeColor="accent5" w:themeShade="95"/>
      </w:rPr>
      <w:pPr>
        <w:pBdr/>
        <w:spacing/>
        <w:ind/>
      </w:pPr>
      <w:tblPr>
        <w:tblBorders/>
      </w:tblPr>
      <w:tcPr>
        <w:tcBorders/>
      </w:tcPr>
    </w:tblStylePr>
    <w:tblStylePr w:type="lastRow">
      <w:rPr>
        <w:b/>
        <w:color w:val="5d195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9" w:customStyle="1">
    <w:name w:val="Grid Table 6 Colorful - Accent 6"/>
    <w:basedOn w:val="1509"/>
    <w:uiPriority w:val="99"/>
    <w:pPr>
      <w:pBdr/>
      <w:spacing/>
      <w:ind/>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5d1955" w:themeColor="accent5" w:themeShade="95"/>
        <w:sz w:val="22"/>
      </w:rPr>
      <w:pPr>
        <w:pBdr/>
        <w:spacing/>
        <w:ind/>
      </w:pPr>
      <w:tblPr>
        <w:tblBorders/>
      </w:tblPr>
      <w:tcPr>
        <w:shd w:val="clear" w:color="d8f2cf" w:themeColor="accent6" w:themeTint="34" w:fill="d8f2cf" w:themeFill="accent6" w:themeFillTint="34"/>
        <w:tcBorders/>
      </w:tcPr>
    </w:tblStylePr>
    <w:tblStylePr w:type="band1Vert">
      <w:pPr>
        <w:pBdr/>
        <w:spacing/>
        <w:ind/>
      </w:pPr>
      <w:tblPr>
        <w:tblBorders/>
      </w:tblPr>
      <w:tcPr>
        <w:shd w:val="clear" w:color="d8f2cf" w:themeColor="accent6" w:themeTint="34" w:fill="d8f2cf" w:themeFill="accent6"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5" w:themeColor="accent5" w:themeShade="95"/>
      </w:rPr>
      <w:pPr>
        <w:pBdr/>
        <w:spacing/>
        <w:ind/>
      </w:pPr>
      <w:tblPr>
        <w:tblBorders/>
      </w:tblPr>
      <w:tcPr>
        <w:tcBorders/>
      </w:tcPr>
    </w:tblStylePr>
    <w:tblStylePr w:type="firstRow">
      <w:rPr>
        <w:b/>
        <w:color w:val="5d1955" w:themeColor="accent5" w:themeShade="95"/>
      </w:rPr>
      <w:pPr>
        <w:pBdr/>
        <w:spacing/>
        <w:ind/>
      </w:pPr>
      <w:tblPr>
        <w:tblBorders/>
      </w:tblPr>
      <w:tcPr>
        <w:tcBorders>
          <w:bottom w:val="single" w:color="4ea72e" w:themeColor="accent6" w:sz="12" w:space="0"/>
        </w:tcBorders>
      </w:tcPr>
    </w:tblStylePr>
    <w:tblStylePr w:type="lastCol">
      <w:rPr>
        <w:b/>
        <w:color w:val="5d1955" w:themeColor="accent5" w:themeShade="95"/>
      </w:rPr>
      <w:pPr>
        <w:pBdr/>
        <w:spacing/>
        <w:ind/>
      </w:pPr>
      <w:tblPr>
        <w:tblBorders/>
      </w:tblPr>
      <w:tcPr>
        <w:tcBorders/>
      </w:tcPr>
    </w:tblStylePr>
    <w:tblStylePr w:type="lastRow">
      <w:rPr>
        <w:b/>
        <w:color w:val="5d195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0">
    <w:name w:val="Grid Table 7 Colorful"/>
    <w:basedOn w:val="1509"/>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1" w:customStyle="1">
    <w:name w:val="Grid Table 7 Colorful - Accent 1"/>
    <w:basedOn w:val="1509"/>
    <w:uiPriority w:val="99"/>
    <w:pPr>
      <w:pBdr/>
      <w:spacing/>
      <w:ind/>
    </w:pPr>
    <w:tblPr>
      <w:tblStyleRowBandSize w:val="1"/>
      <w:tblStyleColBandSize w:val="1"/>
      <w:tblBorders>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Pr>
    <w:tcPr>
      <w:tcBorders/>
    </w:tcPr>
    <w:tblStylePr w:type="band1Horz">
      <w:rPr>
        <w:rFonts w:ascii="Arial" w:hAnsi="Arial"/>
        <w:color w:val="63bde6" w:themeColor="accent1" w:themeTint="80" w:themeShade="95"/>
        <w:sz w:val="22"/>
      </w:rPr>
      <w:pPr>
        <w:pBdr/>
        <w:spacing/>
        <w:ind/>
      </w:pPr>
      <w:tblPr>
        <w:tblBorders/>
      </w:tblPr>
      <w:tcPr>
        <w:shd w:val="clear" w:color="bfe4f4" w:themeColor="accent1" w:themeTint="34" w:fill="bfe4f4" w:themeFill="accent1" w:themeFillTint="34"/>
        <w:tcBorders/>
      </w:tcPr>
    </w:tblStylePr>
    <w:tblStylePr w:type="band1Vert">
      <w:pPr>
        <w:pBdr/>
        <w:spacing/>
        <w:ind/>
      </w:pPr>
      <w:tblPr>
        <w:tblBorders/>
      </w:tblPr>
      <w:tcPr>
        <w:shd w:val="clear" w:color="bfe4f4" w:themeColor="accent1" w:themeTint="34" w:fill="bfe4f4" w:themeFill="accent1" w:themeFillTint="34"/>
        <w:tcBorders/>
      </w:tcPr>
    </w:tblStylePr>
    <w:tblStylePr w:type="band2Horz">
      <w:rPr>
        <w:rFonts w:ascii="Arial" w:hAnsi="Arial"/>
        <w:color w:val="63bde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3bde6"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63bde6" w:themeColor="accent1" w:themeTint="80" w:sz="4" w:space="0"/>
        </w:tcBorders>
      </w:tcPr>
    </w:tblStylePr>
    <w:tblStylePr w:type="firstRow">
      <w:rPr>
        <w:rFonts w:ascii="Arial" w:hAnsi="Arial"/>
        <w:b/>
        <w:color w:val="63bde6"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63bde6" w:themeColor="accent1" w:themeTint="80" w:sz="4" w:space="0"/>
          <w:right w:val="none" w:color="000000" w:sz="4" w:space="0"/>
        </w:tcBorders>
      </w:tcPr>
    </w:tblStylePr>
    <w:tblStylePr w:type="lastCol">
      <w:rPr>
        <w:rFonts w:ascii="Arial" w:hAnsi="Arial"/>
        <w:i/>
        <w:color w:val="63bde6" w:themeColor="accent1" w:themeTint="80" w:themeShade="95"/>
        <w:sz w:val="22"/>
      </w:rPr>
      <w:pPr>
        <w:pBdr/>
        <w:spacing/>
        <w:ind/>
      </w:pPr>
      <w:tblPr>
        <w:tblBorders/>
      </w:tblPr>
      <w:tcPr>
        <w:shd w:val="clear" w:color="ffffff" w:fill="auto"/>
        <w:tcBorders>
          <w:top w:val="none" w:color="000000" w:sz="4" w:space="0"/>
          <w:left w:val="single" w:color="63bde6" w:themeColor="accent1" w:themeTint="80" w:sz="4" w:space="0"/>
          <w:bottom w:val="none" w:color="000000" w:sz="4" w:space="0"/>
          <w:right w:val="none" w:color="000000" w:sz="4" w:space="0"/>
        </w:tcBorders>
      </w:tcPr>
    </w:tblStylePr>
    <w:tblStylePr w:type="lastRow">
      <w:rPr>
        <w:rFonts w:ascii="Arial" w:hAnsi="Arial"/>
        <w:b/>
        <w:color w:val="63bde6" w:themeColor="accent1" w:themeTint="80" w:themeShade="95"/>
        <w:sz w:val="22"/>
      </w:rPr>
      <w:pPr>
        <w:pBdr/>
        <w:spacing/>
        <w:ind/>
      </w:pPr>
      <w:tblPr>
        <w:tblBorders/>
      </w:tblPr>
      <w:tcPr>
        <w:shd w:val="clear" w:color="ffffff" w:themeColor="light1" w:fill="ffffff" w:themeFill="light1"/>
        <w:tcBorders>
          <w:top w:val="single" w:color="63bde6"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2" w:customStyle="1">
    <w:name w:val="Grid Table 7 Colorful - Accent 2"/>
    <w:basedOn w:val="1509"/>
    <w:uiPriority w:val="99"/>
    <w:pPr>
      <w:pBdr/>
      <w:spacing/>
      <w:ind/>
    </w:pPr>
    <w:tblPr>
      <w:tblStyleRowBandSize w:val="1"/>
      <w:tblStyleColBandSize w:val="1"/>
      <w:tblBorders>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ae2d6" w:themeColor="accent2" w:themeTint="32" w:fill="fae2d6" w:themeFill="accent2" w:themeFillTint="32"/>
        <w:tcBorders/>
      </w:tcPr>
    </w:tblStylePr>
    <w:tblStylePr w:type="band1Vert">
      <w:pPr>
        <w:pBdr/>
        <w:spacing/>
        <w:ind/>
      </w:pPr>
      <w:tblPr>
        <w:tblBorders/>
      </w:tblPr>
      <w:tcPr>
        <w:shd w:val="clear" w:color="fae2d6" w:themeColor="accent2" w:themeTint="32" w:fill="fae2d6" w:themeFill="accent2" w:themeFillTint="32"/>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2aa8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2aa85" w:themeColor="accent2" w:themeTint="97" w:sz="4" w:space="0"/>
        </w:tcBorders>
      </w:tcPr>
    </w:tblStylePr>
    <w:tblStylePr w:type="firstRow">
      <w:rPr>
        <w:rFonts w:ascii="Arial" w:hAnsi="Arial"/>
        <w:b/>
        <w:color w:val="f2aa8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2aa85" w:themeColor="accent2" w:themeTint="97" w:sz="4" w:space="0"/>
          <w:right w:val="none" w:color="000000" w:sz="4" w:space="0"/>
        </w:tcBorders>
      </w:tcPr>
    </w:tblStylePr>
    <w:tblStylePr w:type="lastCol">
      <w:rPr>
        <w:rFonts w:ascii="Arial" w:hAnsi="Arial"/>
        <w:i/>
        <w:color w:val="f2aa85" w:themeColor="accent2" w:themeTint="97" w:themeShade="95"/>
        <w:sz w:val="22"/>
      </w:rPr>
      <w:pPr>
        <w:pBdr/>
        <w:spacing/>
        <w:ind/>
      </w:pPr>
      <w:tblPr>
        <w:tblBorders/>
      </w:tblPr>
      <w:tcPr>
        <w:shd w:val="clear" w:color="ffffff" w:fill="auto"/>
        <w:tcBorders>
          <w:top w:val="none" w:color="000000" w:sz="4" w:space="0"/>
          <w:left w:val="single" w:color="f2aa85" w:themeColor="accent2" w:themeTint="97" w:sz="4" w:space="0"/>
          <w:bottom w:val="none" w:color="000000" w:sz="4" w:space="0"/>
          <w:right w:val="none" w:color="000000" w:sz="4" w:space="0"/>
        </w:tcBorders>
      </w:tcPr>
    </w:tblStylePr>
    <w:tblStylePr w:type="lastRow">
      <w:rPr>
        <w:rFonts w:ascii="Arial" w:hAnsi="Arial"/>
        <w:b/>
        <w:color w:val="f2aa85" w:themeColor="accent2" w:themeTint="97" w:themeShade="95"/>
        <w:sz w:val="22"/>
      </w:rPr>
      <w:pPr>
        <w:pBdr/>
        <w:spacing/>
        <w:ind/>
      </w:pPr>
      <w:tblPr>
        <w:tblBorders/>
      </w:tblPr>
      <w:tcPr>
        <w:shd w:val="clear" w:color="ffffff" w:themeColor="light1" w:fill="ffffff" w:themeFill="light1"/>
        <w:tcBorders>
          <w:top w:val="single" w:color="f2aa8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3" w:customStyle="1">
    <w:name w:val="Grid Table 7 Colorful - Accent 3"/>
    <w:basedOn w:val="1509"/>
    <w:uiPriority w:val="99"/>
    <w:pPr>
      <w:pBdr/>
      <w:spacing/>
      <w:ind/>
    </w:pPr>
    <w:tblPr>
      <w:tblStyleRowBandSize w:val="1"/>
      <w:tblStyleColBandSize w:val="1"/>
      <w:tblBorders>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196c24" w:themeColor="accent3" w:themeTint="FE" w:themeShade="95"/>
        <w:sz w:val="22"/>
      </w:rPr>
      <w:pPr>
        <w:pBdr/>
        <w:spacing/>
        <w:ind/>
      </w:pPr>
      <w:tblPr>
        <w:tblBorders/>
      </w:tblPr>
      <w:tcPr>
        <w:shd w:val="clear" w:color="c0f0c6" w:themeColor="accent3" w:themeTint="34" w:fill="c0f0c6" w:themeFill="accent3" w:themeFillTint="34"/>
        <w:tcBorders/>
      </w:tcPr>
    </w:tblStylePr>
    <w:tblStylePr w:type="band1Vert">
      <w:pPr>
        <w:pBdr/>
        <w:spacing/>
        <w:ind/>
      </w:pPr>
      <w:tblPr>
        <w:tblBorders/>
      </w:tblPr>
      <w:tcPr>
        <w:shd w:val="clear" w:color="c0f0c6" w:themeColor="accent3" w:themeTint="34" w:fill="c0f0c6" w:themeFill="accent3" w:themeFillTint="34"/>
        <w:tcBorders/>
      </w:tcPr>
    </w:tblStylePr>
    <w:tblStylePr w:type="band2Horz">
      <w:rPr>
        <w:rFonts w:ascii="Arial" w:hAnsi="Arial"/>
        <w:color w:val="196c24"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96c24"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196c24" w:themeColor="accent3" w:themeTint="FE" w:sz="4" w:space="0"/>
        </w:tcBorders>
      </w:tcPr>
    </w:tblStylePr>
    <w:tblStylePr w:type="firstRow">
      <w:rPr>
        <w:rFonts w:ascii="Arial" w:hAnsi="Arial"/>
        <w:b/>
        <w:color w:val="196c24"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196c24" w:themeColor="accent3" w:themeTint="FE" w:sz="4" w:space="0"/>
          <w:right w:val="none" w:color="000000" w:sz="4" w:space="0"/>
        </w:tcBorders>
      </w:tcPr>
    </w:tblStylePr>
    <w:tblStylePr w:type="lastCol">
      <w:rPr>
        <w:rFonts w:ascii="Arial" w:hAnsi="Arial"/>
        <w:i/>
        <w:color w:val="196c24" w:themeColor="accent3" w:themeTint="FE" w:themeShade="95"/>
        <w:sz w:val="22"/>
      </w:rPr>
      <w:pPr>
        <w:pBdr/>
        <w:spacing/>
        <w:ind/>
      </w:pPr>
      <w:tblPr>
        <w:tblBorders/>
      </w:tblPr>
      <w:tcPr>
        <w:shd w:val="clear" w:color="ffffff" w:fill="auto"/>
        <w:tcBorders>
          <w:top w:val="none" w:color="000000" w:sz="4" w:space="0"/>
          <w:left w:val="single" w:color="196c24" w:themeColor="accent3" w:themeTint="FE" w:sz="4" w:space="0"/>
          <w:bottom w:val="none" w:color="000000" w:sz="4" w:space="0"/>
          <w:right w:val="none" w:color="000000" w:sz="4" w:space="0"/>
        </w:tcBorders>
      </w:tcPr>
    </w:tblStylePr>
    <w:tblStylePr w:type="lastRow">
      <w:rPr>
        <w:rFonts w:ascii="Arial" w:hAnsi="Arial"/>
        <w:b/>
        <w:color w:val="196c24" w:themeColor="accent3" w:themeTint="FE" w:themeShade="95"/>
        <w:sz w:val="22"/>
      </w:rPr>
      <w:pPr>
        <w:pBdr/>
        <w:spacing/>
        <w:ind/>
      </w:pPr>
      <w:tblPr>
        <w:tblBorders/>
      </w:tblPr>
      <w:tcPr>
        <w:shd w:val="clear" w:color="ffffff" w:themeColor="light1" w:fill="ffffff" w:themeFill="light1"/>
        <w:tcBorders>
          <w:top w:val="single" w:color="196c24"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4" w:customStyle="1">
    <w:name w:val="Grid Table 7 Colorful - Accent 4"/>
    <w:basedOn w:val="1509"/>
    <w:uiPriority w:val="99"/>
    <w:pPr>
      <w:pBdr/>
      <w:spacing/>
      <w:ind/>
    </w:pPr>
    <w:tblPr>
      <w:tblStyleRowBandSize w:val="1"/>
      <w:tblStyleColBandSize w:val="1"/>
      <w:tblBorders>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c9edfb" w:themeColor="accent4" w:themeTint="34" w:fill="c9edfb" w:themeFill="accent4" w:themeFillTint="34"/>
        <w:tcBorders/>
      </w:tcPr>
    </w:tblStylePr>
    <w:tblStylePr w:type="band1Vert">
      <w:pPr>
        <w:pBdr/>
        <w:spacing/>
        <w:ind/>
      </w:pPr>
      <w:tblPr>
        <w:tblBorders/>
      </w:tblPr>
      <w:tcPr>
        <w:shd w:val="clear" w:color="c9edfb" w:themeColor="accent4" w:themeTint="34" w:fill="c9edfb" w:themeFill="accent4" w:themeFillTint="34"/>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caf3"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5fcaf3" w:themeColor="accent4" w:themeTint="9A" w:sz="4" w:space="0"/>
        </w:tcBorders>
      </w:tcPr>
    </w:tblStylePr>
    <w:tblStylePr w:type="firstRow">
      <w:rPr>
        <w:rFonts w:ascii="Arial" w:hAnsi="Arial"/>
        <w:b/>
        <w:color w:val="5fcaf3"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5fcaf3" w:themeColor="accent4" w:themeTint="9A" w:sz="4" w:space="0"/>
          <w:right w:val="none" w:color="000000" w:sz="4" w:space="0"/>
        </w:tcBorders>
      </w:tcPr>
    </w:tblStylePr>
    <w:tblStylePr w:type="lastCol">
      <w:rPr>
        <w:rFonts w:ascii="Arial" w:hAnsi="Arial"/>
        <w:i/>
        <w:color w:val="5fcaf3" w:themeColor="accent4" w:themeTint="9A" w:themeShade="95"/>
        <w:sz w:val="22"/>
      </w:rPr>
      <w:pPr>
        <w:pBdr/>
        <w:spacing/>
        <w:ind/>
      </w:pPr>
      <w:tblPr>
        <w:tblBorders/>
      </w:tblPr>
      <w:tcPr>
        <w:shd w:val="clear" w:color="ffffff" w:fill="auto"/>
        <w:tcBorders>
          <w:top w:val="none" w:color="000000" w:sz="4" w:space="0"/>
          <w:left w:val="single" w:color="5fcaf3" w:themeColor="accent4" w:themeTint="9A" w:sz="4" w:space="0"/>
          <w:bottom w:val="none" w:color="000000" w:sz="4" w:space="0"/>
          <w:right w:val="none" w:color="000000" w:sz="4" w:space="0"/>
        </w:tcBorders>
      </w:tcPr>
    </w:tblStylePr>
    <w:tblStylePr w:type="lastRow">
      <w:rPr>
        <w:rFonts w:ascii="Arial" w:hAnsi="Arial"/>
        <w:b/>
        <w:color w:val="5fcaf3" w:themeColor="accent4" w:themeTint="9A" w:themeShade="95"/>
        <w:sz w:val="22"/>
      </w:rPr>
      <w:pPr>
        <w:pBdr/>
        <w:spacing/>
        <w:ind/>
      </w:pPr>
      <w:tblPr>
        <w:tblBorders/>
      </w:tblPr>
      <w:tcPr>
        <w:shd w:val="clear" w:color="ffffff" w:themeColor="light1" w:fill="ffffff" w:themeFill="light1"/>
        <w:tcBorders>
          <w:top w:val="single" w:color="5fcaf3"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5" w:customStyle="1">
    <w:name w:val="Grid Table 7 Colorful - Accent 5"/>
    <w:basedOn w:val="1509"/>
    <w:uiPriority w:val="99"/>
    <w:pPr>
      <w:pBdr/>
      <w:spacing/>
      <w:ind/>
    </w:pPr>
    <w:tblPr>
      <w:tblStyleRowBandSize w:val="1"/>
      <w:tblStyleColBandSize w:val="1"/>
      <w:tblBorders>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cPr>
      <w:tcBorders/>
    </w:tcPr>
    <w:tblStylePr w:type="band1Horz">
      <w:rPr>
        <w:rFonts w:ascii="Arial" w:hAnsi="Arial"/>
        <w:color w:val="5d1955" w:themeColor="accent5" w:themeShade="95"/>
        <w:sz w:val="22"/>
      </w:rPr>
      <w:pPr>
        <w:pBdr/>
        <w:spacing/>
        <w:ind/>
      </w:pPr>
      <w:tblPr>
        <w:tblBorders/>
      </w:tblPr>
      <w:tcPr>
        <w:shd w:val="clear" w:color="f1cded" w:themeColor="accent5" w:themeTint="34" w:fill="f1cded" w:themeFill="accent5" w:themeFillTint="34"/>
        <w:tcBorders/>
      </w:tcPr>
    </w:tblStylePr>
    <w:tblStylePr w:type="band1Vert">
      <w:pPr>
        <w:pBdr/>
        <w:spacing/>
        <w:ind/>
      </w:pPr>
      <w:tblPr>
        <w:tblBorders/>
      </w:tblPr>
      <w:tcPr>
        <w:shd w:val="clear" w:color="f1cded" w:themeColor="accent5" w:themeTint="34" w:fill="f1cded" w:themeFill="accent5"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5"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a76ce" w:themeColor="accent5" w:themeTint="90" w:sz="4" w:space="0"/>
        </w:tcBorders>
      </w:tcPr>
    </w:tblStylePr>
    <w:tblStylePr w:type="firstRow">
      <w:rPr>
        <w:rFonts w:ascii="Arial" w:hAnsi="Arial"/>
        <w:b/>
        <w:color w:val="5d195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a76ce" w:themeColor="accent5" w:themeTint="90" w:sz="4" w:space="0"/>
          <w:right w:val="none" w:color="000000" w:sz="4" w:space="0"/>
        </w:tcBorders>
      </w:tcPr>
    </w:tblStylePr>
    <w:tblStylePr w:type="lastCol">
      <w:rPr>
        <w:rFonts w:ascii="Arial" w:hAnsi="Arial"/>
        <w:i/>
        <w:color w:val="5d1955" w:themeColor="accent5" w:themeShade="95"/>
        <w:sz w:val="22"/>
      </w:rPr>
      <w:pPr>
        <w:pBdr/>
        <w:spacing/>
        <w:ind/>
      </w:pPr>
      <w:tblPr>
        <w:tblBorders/>
      </w:tblPr>
      <w:tcPr>
        <w:shd w:val="clear" w:color="ffffff" w:fill="auto"/>
        <w:tcBorders>
          <w:top w:val="none" w:color="000000" w:sz="4" w:space="0"/>
          <w:left w:val="single" w:color="da76ce" w:themeColor="accent5" w:themeTint="90" w:sz="4" w:space="0"/>
          <w:bottom w:val="none" w:color="000000" w:sz="4" w:space="0"/>
          <w:right w:val="none" w:color="000000" w:sz="4" w:space="0"/>
        </w:tcBorders>
      </w:tcPr>
    </w:tblStylePr>
    <w:tblStylePr w:type="lastRow">
      <w:rPr>
        <w:rFonts w:ascii="Arial" w:hAnsi="Arial"/>
        <w:b/>
        <w:color w:val="5d1955" w:themeColor="accent5" w:themeShade="95"/>
        <w:sz w:val="22"/>
      </w:rPr>
      <w:pPr>
        <w:pBdr/>
        <w:spacing/>
        <w:ind/>
      </w:pPr>
      <w:tblPr>
        <w:tblBorders/>
      </w:tblPr>
      <w:tcPr>
        <w:shd w:val="clear" w:color="ffffff" w:themeColor="light1" w:fill="ffffff" w:themeFill="light1"/>
        <w:tcBorders>
          <w:top w:val="single" w:color="da76c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6" w:customStyle="1">
    <w:name w:val="Grid Table 7 Colorful - Accent 6"/>
    <w:basedOn w:val="1509"/>
    <w:uiPriority w:val="99"/>
    <w:pPr>
      <w:pBdr/>
      <w:spacing/>
      <w:ind/>
    </w:pPr>
    <w:tblPr>
      <w:tblStyleRowBandSize w:val="1"/>
      <w:tblStyleColBandSize w:val="1"/>
      <w:tblBorders>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cPr>
      <w:tcBorders/>
    </w:tcPr>
    <w:tblStylePr w:type="band1Horz">
      <w:rPr>
        <w:rFonts w:ascii="Arial" w:hAnsi="Arial"/>
        <w:color w:val="2d611b" w:themeColor="accent6" w:themeShade="95"/>
        <w:sz w:val="22"/>
      </w:rPr>
      <w:pPr>
        <w:pBdr/>
        <w:spacing/>
        <w:ind/>
      </w:pPr>
      <w:tblPr>
        <w:tblBorders/>
      </w:tblPr>
      <w:tcPr>
        <w:shd w:val="clear" w:color="d8f2cf" w:themeColor="accent6" w:themeTint="34" w:fill="d8f2cf" w:themeFill="accent6" w:themeFillTint="34"/>
        <w:tcBorders/>
      </w:tcPr>
    </w:tblStylePr>
    <w:tblStylePr w:type="band1Vert">
      <w:pPr>
        <w:pBdr/>
        <w:spacing/>
        <w:ind/>
      </w:pPr>
      <w:tblPr>
        <w:tblBorders/>
      </w:tblPr>
      <w:tcPr>
        <w:shd w:val="clear" w:color="d8f2cf" w:themeColor="accent6" w:themeTint="34" w:fill="d8f2cf" w:themeFill="accent6" w:themeFillTint="34"/>
        <w:tcBorders/>
      </w:tcPr>
    </w:tblStylePr>
    <w:tblStylePr w:type="band2Horz">
      <w:rPr>
        <w:rFonts w:ascii="Arial" w:hAnsi="Arial"/>
        <w:color w:val="2d61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611b"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4da7b" w:themeColor="accent6" w:themeTint="90" w:sz="4" w:space="0"/>
        </w:tcBorders>
      </w:tcPr>
    </w:tblStylePr>
    <w:tblStylePr w:type="firstRow">
      <w:rPr>
        <w:rFonts w:ascii="Arial" w:hAnsi="Arial"/>
        <w:b/>
        <w:color w:val="2d611b"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4da7b" w:themeColor="accent6" w:themeTint="90" w:sz="4" w:space="0"/>
          <w:right w:val="none" w:color="000000" w:sz="4" w:space="0"/>
        </w:tcBorders>
      </w:tcPr>
    </w:tblStylePr>
    <w:tblStylePr w:type="lastCol">
      <w:rPr>
        <w:rFonts w:ascii="Arial" w:hAnsi="Arial"/>
        <w:i/>
        <w:color w:val="2d611b" w:themeColor="accent6" w:themeShade="95"/>
        <w:sz w:val="22"/>
      </w:rPr>
      <w:pPr>
        <w:pBdr/>
        <w:spacing/>
        <w:ind/>
      </w:pPr>
      <w:tblPr>
        <w:tblBorders/>
      </w:tblPr>
      <w:tcPr>
        <w:shd w:val="clear" w:color="ffffff" w:fill="auto"/>
        <w:tcBorders>
          <w:top w:val="none" w:color="000000" w:sz="4" w:space="0"/>
          <w:left w:val="single" w:color="94da7b" w:themeColor="accent6" w:themeTint="90" w:sz="4" w:space="0"/>
          <w:bottom w:val="none" w:color="000000" w:sz="4" w:space="0"/>
          <w:right w:val="none" w:color="000000" w:sz="4" w:space="0"/>
        </w:tcBorders>
      </w:tcPr>
    </w:tblStylePr>
    <w:tblStylePr w:type="lastRow">
      <w:rPr>
        <w:rFonts w:ascii="Arial" w:hAnsi="Arial"/>
        <w:b/>
        <w:color w:val="2d611b" w:themeColor="accent6" w:themeShade="95"/>
        <w:sz w:val="22"/>
      </w:rPr>
      <w:pPr>
        <w:pBdr/>
        <w:spacing/>
        <w:ind/>
      </w:pPr>
      <w:tblPr>
        <w:tblBorders/>
      </w:tblPr>
      <w:tcPr>
        <w:shd w:val="clear" w:color="ffffff" w:themeColor="light1" w:fill="ffffff" w:themeFill="light1"/>
        <w:tcBorders>
          <w:top w:val="single" w:color="94da7b"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7">
    <w:name w:val="List Table 1 Light"/>
    <w:basedOn w:val="1509"/>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8" w:customStyle="1">
    <w:name w:val="List Table 1 Light - Accent 1"/>
    <w:basedOn w:val="1509"/>
    <w:uiPriority w:val="99"/>
    <w:pPr>
      <w:pBdr/>
      <w:spacing/>
      <w:ind/>
    </w:pPr>
    <w:tblPr>
      <w:tblStyleRowBandSize w:val="1"/>
      <w:tblStyleColBandSize w:val="1"/>
      <w:tblBorders/>
    </w:tblPr>
    <w:tcPr>
      <w:tcBorders/>
    </w:tcPr>
    <w:tblStylePr w:type="band1Horz">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156082"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56082"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9" w:customStyle="1">
    <w:name w:val="List Table 1 Light - Accent 2"/>
    <w:basedOn w:val="1509"/>
    <w:uiPriority w:val="99"/>
    <w:pPr>
      <w:pBdr/>
      <w:spacing/>
      <w:ind/>
    </w:pPr>
    <w:tblPr>
      <w:tblStyleRowBandSize w:val="1"/>
      <w:tblStyleColBandSize w:val="1"/>
      <w:tblBorders/>
    </w:tblPr>
    <w:tcPr>
      <w:tcBorders/>
    </w:tcPr>
    <w:tblStylePr w:type="band1Horz">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97132"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97132"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0" w:customStyle="1">
    <w:name w:val="List Table 1 Light - Accent 3"/>
    <w:basedOn w:val="1509"/>
    <w:uiPriority w:val="99"/>
    <w:pPr>
      <w:pBdr/>
      <w:spacing/>
      <w:ind/>
    </w:pPr>
    <w:tblPr>
      <w:tblStyleRowBandSize w:val="1"/>
      <w:tblStyleColBandSize w:val="1"/>
      <w:tblBorders/>
    </w:tblPr>
    <w:tcPr>
      <w:tcBorders/>
    </w:tcPr>
    <w:tblStylePr w:type="band1Horz">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196b24"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6b24"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1" w:customStyle="1">
    <w:name w:val="List Table 1 Light - Accent 4"/>
    <w:basedOn w:val="1509"/>
    <w:uiPriority w:val="99"/>
    <w:pPr>
      <w:pBdr/>
      <w:spacing/>
      <w:ind/>
    </w:pPr>
    <w:tblPr>
      <w:tblStyleRowBandSize w:val="1"/>
      <w:tblStyleColBandSize w:val="1"/>
      <w:tblBorders/>
    </w:tblPr>
    <w:tcPr>
      <w:tcBorders/>
    </w:tcPr>
    <w:tblStylePr w:type="band1Horz">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f9ed5"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f9ed5"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2" w:customStyle="1">
    <w:name w:val="List Table 1 Light - Accent 5"/>
    <w:basedOn w:val="1509"/>
    <w:uiPriority w:val="99"/>
    <w:pPr>
      <w:pBdr/>
      <w:spacing/>
      <w:ind/>
    </w:pPr>
    <w:tblPr>
      <w:tblStyleRowBandSize w:val="1"/>
      <w:tblStyleColBandSize w:val="1"/>
      <w:tblBorders/>
    </w:tblPr>
    <w:tcPr>
      <w:tcBorders/>
    </w:tcPr>
    <w:tblStylePr w:type="band1Horz">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02b93"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02b93"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3" w:customStyle="1">
    <w:name w:val="List Table 1 Light - Accent 6"/>
    <w:basedOn w:val="1509"/>
    <w:uiPriority w:val="99"/>
    <w:pPr>
      <w:pBdr/>
      <w:spacing/>
      <w:ind/>
    </w:pPr>
    <w:tblPr>
      <w:tblStyleRowBandSize w:val="1"/>
      <w:tblStyleColBandSize w:val="1"/>
      <w:tblBorders/>
    </w:tblPr>
    <w:tcPr>
      <w:tcBorders/>
    </w:tcPr>
    <w:tblStylePr w:type="band1Horz">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ea72e"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ea72e"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4">
    <w:name w:val="List Table 2"/>
    <w:basedOn w:val="1509"/>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5" w:customStyle="1">
    <w:name w:val="List Table 2 - Accent 1"/>
    <w:basedOn w:val="1509"/>
    <w:uiPriority w:val="99"/>
    <w:pPr>
      <w:pBdr/>
      <w:spacing/>
      <w:ind/>
    </w:pPr>
    <w:tblPr>
      <w:tblStyleRowBandSize w:val="1"/>
      <w:tblStyleColBandSize w:val="1"/>
      <w:tblBorders>
        <w:top w:val="single" w:color="50b4e2" w:themeColor="accent1" w:themeTint="90" w:sz="4" w:space="0"/>
        <w:bottom w:val="single" w:color="50b4e2" w:themeColor="accent1" w:themeTint="90" w:sz="4" w:space="0"/>
        <w:insideH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50b4e2" w:themeColor="accent1" w:themeTint="90" w:sz="4" w:space="0"/>
          <w:left w:val="none" w:color="000000" w:sz="4" w:space="0"/>
          <w:bottom w:val="single" w:color="50b4e2"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50b4e2" w:themeColor="accent1" w:themeTint="90" w:sz="4" w:space="0"/>
          <w:left w:val="none" w:color="000000" w:sz="4" w:space="0"/>
          <w:bottom w:val="single" w:color="50b4e2"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6" w:customStyle="1">
    <w:name w:val="List Table 2 - Accent 2"/>
    <w:basedOn w:val="1509"/>
    <w:uiPriority w:val="99"/>
    <w:pPr>
      <w:pBdr/>
      <w:spacing/>
      <w:ind/>
    </w:pPr>
    <w:tblPr>
      <w:tblStyleRowBandSize w:val="1"/>
      <w:tblStyleColBandSize w:val="1"/>
      <w:tblBorders>
        <w:top w:val="single" w:color="f2ae8b" w:themeColor="accent2" w:themeTint="90" w:sz="4" w:space="0"/>
        <w:bottom w:val="single" w:color="f2ae8b" w:themeColor="accent2" w:themeTint="90" w:sz="4" w:space="0"/>
        <w:insideH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1Vert">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2ae8b" w:themeColor="accent2" w:themeTint="90" w:sz="4" w:space="0"/>
          <w:left w:val="none" w:color="000000" w:sz="4" w:space="0"/>
          <w:bottom w:val="single" w:color="f2ae8b"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2ae8b" w:themeColor="accent2" w:themeTint="90" w:sz="4" w:space="0"/>
          <w:left w:val="none" w:color="000000" w:sz="4" w:space="0"/>
          <w:bottom w:val="single" w:color="f2ae8b"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7" w:customStyle="1">
    <w:name w:val="List Table 2 - Accent 3"/>
    <w:basedOn w:val="1509"/>
    <w:uiPriority w:val="99"/>
    <w:pPr>
      <w:pBdr/>
      <w:spacing/>
      <w:ind/>
    </w:pPr>
    <w:tblPr>
      <w:tblStyleRowBandSize w:val="1"/>
      <w:tblStyleColBandSize w:val="1"/>
      <w:tblBorders>
        <w:top w:val="single" w:color="51d663" w:themeColor="accent3" w:themeTint="90" w:sz="4" w:space="0"/>
        <w:bottom w:val="single" w:color="51d663" w:themeColor="accent3" w:themeTint="90" w:sz="4" w:space="0"/>
        <w:insideH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1Vert">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51d663" w:themeColor="accent3" w:themeTint="90" w:sz="4" w:space="0"/>
          <w:left w:val="none" w:color="000000" w:sz="4" w:space="0"/>
          <w:bottom w:val="single" w:color="51d663"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51d663" w:themeColor="accent3" w:themeTint="90" w:sz="4" w:space="0"/>
          <w:left w:val="none" w:color="000000" w:sz="4" w:space="0"/>
          <w:bottom w:val="single" w:color="51d663"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8" w:customStyle="1">
    <w:name w:val="List Table 2 - Accent 4"/>
    <w:basedOn w:val="1509"/>
    <w:uiPriority w:val="99"/>
    <w:pPr>
      <w:pBdr/>
      <w:spacing/>
      <w:ind/>
    </w:pPr>
    <w:tblPr>
      <w:tblStyleRowBandSize w:val="1"/>
      <w:tblStyleColBandSize w:val="1"/>
      <w:tblBorders>
        <w:top w:val="single" w:color="6acdf4" w:themeColor="accent4" w:themeTint="90" w:sz="4" w:space="0"/>
        <w:bottom w:val="single" w:color="6acdf4" w:themeColor="accent4" w:themeTint="90" w:sz="4" w:space="0"/>
        <w:insideH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1Vert">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acdf4" w:themeColor="accent4" w:themeTint="90" w:sz="4" w:space="0"/>
          <w:left w:val="none" w:color="000000" w:sz="4" w:space="0"/>
          <w:bottom w:val="single" w:color="6acdf4"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acdf4" w:themeColor="accent4" w:themeTint="90" w:sz="4" w:space="0"/>
          <w:left w:val="none" w:color="000000" w:sz="4" w:space="0"/>
          <w:bottom w:val="single" w:color="6acdf4"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9" w:customStyle="1">
    <w:name w:val="List Table 2 - Accent 5"/>
    <w:basedOn w:val="1509"/>
    <w:uiPriority w:val="99"/>
    <w:pPr>
      <w:pBdr/>
      <w:spacing/>
      <w:ind/>
    </w:pPr>
    <w:tblPr>
      <w:tblStyleRowBandSize w:val="1"/>
      <w:tblStyleColBandSize w:val="1"/>
      <w:tblBorders>
        <w:top w:val="single" w:color="da76ce" w:themeColor="accent5" w:themeTint="90" w:sz="4" w:space="0"/>
        <w:bottom w:val="single" w:color="da76ce" w:themeColor="accent5" w:themeTint="90" w:sz="4" w:space="0"/>
        <w:insideH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1Vert">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a76ce" w:themeColor="accent5" w:themeTint="90" w:sz="4" w:space="0"/>
          <w:left w:val="none" w:color="000000" w:sz="4" w:space="0"/>
          <w:bottom w:val="single" w:color="da76c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a76ce" w:themeColor="accent5" w:themeTint="90" w:sz="4" w:space="0"/>
          <w:left w:val="none" w:color="000000" w:sz="4" w:space="0"/>
          <w:bottom w:val="single" w:color="da76c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0" w:customStyle="1">
    <w:name w:val="List Table 2 - Accent 6"/>
    <w:basedOn w:val="1509"/>
    <w:uiPriority w:val="99"/>
    <w:pPr>
      <w:pBdr/>
      <w:spacing/>
      <w:ind/>
    </w:pPr>
    <w:tblPr>
      <w:tblStyleRowBandSize w:val="1"/>
      <w:tblStyleColBandSize w:val="1"/>
      <w:tblBorders>
        <w:top w:val="single" w:color="94da7b" w:themeColor="accent6" w:themeTint="90" w:sz="4" w:space="0"/>
        <w:bottom w:val="single" w:color="94da7b" w:themeColor="accent6" w:themeTint="90" w:sz="4" w:space="0"/>
        <w:insideH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1Vert">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4da7b" w:themeColor="accent6" w:themeTint="90" w:sz="4" w:space="0"/>
          <w:left w:val="none" w:color="000000" w:sz="4" w:space="0"/>
          <w:bottom w:val="single" w:color="94da7b"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4da7b" w:themeColor="accent6" w:themeTint="90" w:sz="4" w:space="0"/>
          <w:left w:val="none" w:color="000000" w:sz="4" w:space="0"/>
          <w:bottom w:val="single" w:color="94da7b"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1">
    <w:name w:val="List Table 3"/>
    <w:basedOn w:val="1509"/>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2" w:customStyle="1">
    <w:name w:val="List Table 3 - Accent 1"/>
    <w:basedOn w:val="1509"/>
    <w:uiPriority w:val="99"/>
    <w:pPr>
      <w:pBdr/>
      <w:spacing/>
      <w:ind/>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cPr>
      <w:tcBorders/>
    </w:tcPr>
    <w:tblStylePr w:type="band1Horz">
      <w:rPr>
        <w:rFonts w:ascii="Arial" w:hAnsi="Arial"/>
        <w:color w:val="404040"/>
        <w:sz w:val="22"/>
      </w:rPr>
      <w:pPr>
        <w:pBdr/>
        <w:spacing/>
        <w:ind/>
      </w:pPr>
      <w:tblPr>
        <w:tblBorders/>
      </w:tblPr>
      <w:tcPr>
        <w:tcBorders>
          <w:top w:val="single" w:color="156082" w:themeColor="accent1" w:sz="4" w:space="0"/>
          <w:bottom w:val="single" w:color="156082" w:themeColor="accent1" w:sz="4" w:space="0"/>
        </w:tcBorders>
      </w:tcPr>
    </w:tblStylePr>
    <w:tblStylePr w:type="band1Vert">
      <w:rPr>
        <w:rFonts w:ascii="Arial" w:hAnsi="Arial"/>
        <w:color w:val="404040"/>
        <w:sz w:val="22"/>
      </w:rPr>
      <w:pPr>
        <w:pBdr/>
        <w:spacing/>
        <w:ind/>
      </w:pPr>
      <w:tblPr>
        <w:tblBorders/>
      </w:tblPr>
      <w:tcPr>
        <w:tcBorders>
          <w:left w:val="single" w:color="156082" w:themeColor="accent1" w:sz="4" w:space="0"/>
          <w:right w:val="single" w:color="156082"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3" w:customStyle="1">
    <w:name w:val="List Table 3 - Accent 2"/>
    <w:basedOn w:val="1509"/>
    <w:uiPriority w:val="99"/>
    <w:pPr>
      <w:pBdr/>
      <w:spacing/>
      <w:ind/>
    </w:pPr>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2aa85" w:themeColor="accent2" w:themeTint="97" w:sz="4" w:space="0"/>
          <w:bottom w:val="single" w:color="f2aa85" w:themeColor="accent2" w:themeTint="97" w:sz="4" w:space="0"/>
        </w:tcBorders>
      </w:tcPr>
    </w:tblStylePr>
    <w:tblStylePr w:type="band1Vert">
      <w:rPr>
        <w:rFonts w:ascii="Arial" w:hAnsi="Arial"/>
        <w:color w:val="404040"/>
        <w:sz w:val="22"/>
      </w:rPr>
      <w:pPr>
        <w:pBdr/>
        <w:spacing/>
        <w:ind/>
      </w:pPr>
      <w:tblPr>
        <w:tblBorders/>
      </w:tblPr>
      <w:tcPr>
        <w:tcBorders>
          <w:left w:val="single" w:color="f2aa85" w:themeColor="accent2" w:themeTint="97" w:sz="4" w:space="0"/>
          <w:right w:val="single" w:color="f2aa8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2aa85" w:themeColor="accent2" w:themeTint="97" w:fill="f2aa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4" w:customStyle="1">
    <w:name w:val="List Table 3 - Accent 3"/>
    <w:basedOn w:val="1509"/>
    <w:uiPriority w:val="99"/>
    <w:pPr>
      <w:pBdr/>
      <w:spacing/>
      <w:ind/>
    </w:pPr>
    <w:tblPr>
      <w:tblStyleRowBandSize w:val="1"/>
      <w:tblStyleColBandSize w:val="1"/>
      <w:tblBorders>
        <w:top w:val="single" w:color="48d45b" w:themeColor="accent3" w:themeTint="98" w:sz="4" w:space="0"/>
        <w:left w:val="single" w:color="48d45b" w:themeColor="accent3" w:themeTint="98" w:sz="4" w:space="0"/>
        <w:bottom w:val="single" w:color="48d45b" w:themeColor="accent3" w:themeTint="98" w:sz="4" w:space="0"/>
        <w:right w:val="single" w:color="48d45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48d45b" w:themeColor="accent3" w:themeTint="98" w:sz="4" w:space="0"/>
          <w:bottom w:val="single" w:color="48d45b" w:themeColor="accent3" w:themeTint="98" w:sz="4" w:space="0"/>
        </w:tcBorders>
      </w:tcPr>
    </w:tblStylePr>
    <w:tblStylePr w:type="band1Vert">
      <w:rPr>
        <w:rFonts w:ascii="Arial" w:hAnsi="Arial"/>
        <w:color w:val="404040"/>
        <w:sz w:val="22"/>
      </w:rPr>
      <w:pPr>
        <w:pBdr/>
        <w:spacing/>
        <w:ind/>
      </w:pPr>
      <w:tblPr>
        <w:tblBorders/>
      </w:tblPr>
      <w:tcPr>
        <w:tcBorders>
          <w:left w:val="single" w:color="48d45b" w:themeColor="accent3" w:themeTint="98" w:sz="4" w:space="0"/>
          <w:right w:val="single" w:color="48d45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8d45b"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5" w:customStyle="1">
    <w:name w:val="List Table 3 - Accent 4"/>
    <w:basedOn w:val="1509"/>
    <w:uiPriority w:val="99"/>
    <w:pPr>
      <w:pBdr/>
      <w:spacing/>
      <w:ind/>
    </w:pPr>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5fcaf3" w:themeColor="accent4" w:themeTint="9A" w:sz="4" w:space="0"/>
          <w:bottom w:val="single" w:color="5fcaf3" w:themeColor="accent4" w:themeTint="9A" w:sz="4" w:space="0"/>
        </w:tcBorders>
      </w:tcPr>
    </w:tblStylePr>
    <w:tblStylePr w:type="band1Vert">
      <w:rPr>
        <w:rFonts w:ascii="Arial" w:hAnsi="Arial"/>
        <w:color w:val="404040"/>
        <w:sz w:val="22"/>
      </w:rPr>
      <w:pPr>
        <w:pBdr/>
        <w:spacing/>
        <w:ind/>
      </w:pPr>
      <w:tblPr>
        <w:tblBorders/>
      </w:tblPr>
      <w:tcPr>
        <w:tcBorders>
          <w:left w:val="single" w:color="5fcaf3" w:themeColor="accent4" w:themeTint="9A" w:sz="4" w:space="0"/>
          <w:right w:val="single" w:color="5fcaf3"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fcaf3" w:themeColor="accent4" w:themeTint="9A" w:fill="5fcaf3"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6" w:customStyle="1">
    <w:name w:val="List Table 3 - Accent 5"/>
    <w:basedOn w:val="1509"/>
    <w:uiPriority w:val="99"/>
    <w:pPr>
      <w:pBdr/>
      <w:spacing/>
      <w:ind/>
    </w:pPr>
    <w:tblPr>
      <w:tblStyleRowBandSize w:val="1"/>
      <w:tblStyleColBandSize w:val="1"/>
      <w:tblBorders>
        <w:top w:val="single" w:color="d76ccb" w:themeColor="accent5" w:themeTint="9A" w:sz="4" w:space="0"/>
        <w:left w:val="single" w:color="d76ccb" w:themeColor="accent5" w:themeTint="9A" w:sz="4" w:space="0"/>
        <w:bottom w:val="single" w:color="d76ccb" w:themeColor="accent5" w:themeTint="9A" w:sz="4" w:space="0"/>
        <w:right w:val="single" w:color="d76ccb"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d76ccb" w:themeColor="accent5" w:themeTint="9A" w:sz="4" w:space="0"/>
          <w:bottom w:val="single" w:color="d76ccb" w:themeColor="accent5" w:themeTint="9A" w:sz="4" w:space="0"/>
        </w:tcBorders>
      </w:tcPr>
    </w:tblStylePr>
    <w:tblStylePr w:type="band1Vert">
      <w:rPr>
        <w:rFonts w:ascii="Arial" w:hAnsi="Arial"/>
        <w:color w:val="404040"/>
        <w:sz w:val="22"/>
      </w:rPr>
      <w:pPr>
        <w:pBdr/>
        <w:spacing/>
        <w:ind/>
      </w:pPr>
      <w:tblPr>
        <w:tblBorders/>
      </w:tblPr>
      <w:tcPr>
        <w:tcBorders>
          <w:left w:val="single" w:color="d76ccb" w:themeColor="accent5" w:themeTint="9A" w:sz="4" w:space="0"/>
          <w:right w:val="single" w:color="d76ccb"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76ccb" w:themeColor="accent5" w:themeTint="9A" w:fill="d76cc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7" w:customStyle="1">
    <w:name w:val="List Table 3 - Accent 6"/>
    <w:basedOn w:val="1509"/>
    <w:uiPriority w:val="99"/>
    <w:pPr>
      <w:pBdr/>
      <w:spacing/>
      <w:ind/>
    </w:pPr>
    <w:tblPr>
      <w:tblStyleRowBandSize w:val="1"/>
      <w:tblStyleColBandSize w:val="1"/>
      <w:tblBorders>
        <w:top w:val="single" w:color="8ed873" w:themeColor="accent6" w:themeTint="98" w:sz="4" w:space="0"/>
        <w:left w:val="single" w:color="8ed873" w:themeColor="accent6" w:themeTint="98" w:sz="4" w:space="0"/>
        <w:bottom w:val="single" w:color="8ed873" w:themeColor="accent6" w:themeTint="98" w:sz="4" w:space="0"/>
        <w:right w:val="single" w:color="8ed873"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8ed873" w:themeColor="accent6" w:themeTint="98" w:sz="4" w:space="0"/>
          <w:bottom w:val="single" w:color="8ed873" w:themeColor="accent6" w:themeTint="98" w:sz="4" w:space="0"/>
        </w:tcBorders>
      </w:tcPr>
    </w:tblStylePr>
    <w:tblStylePr w:type="band1Vert">
      <w:rPr>
        <w:rFonts w:ascii="Arial" w:hAnsi="Arial"/>
        <w:color w:val="404040"/>
        <w:sz w:val="22"/>
      </w:rPr>
      <w:pPr>
        <w:pBdr/>
        <w:spacing/>
        <w:ind/>
      </w:pPr>
      <w:tblPr>
        <w:tblBorders/>
      </w:tblPr>
      <w:tcPr>
        <w:tcBorders>
          <w:left w:val="single" w:color="8ed873" w:themeColor="accent6" w:themeTint="98" w:sz="4" w:space="0"/>
          <w:right w:val="single" w:color="8ed873"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ed873" w:themeColor="accent6" w:themeTint="98" w:fill="8ed873"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8">
    <w:name w:val="List Table 4"/>
    <w:basedOn w:val="1509"/>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9" w:customStyle="1">
    <w:name w:val="List Table 4 - Accent 1"/>
    <w:basedOn w:val="1509"/>
    <w:uiPriority w:val="99"/>
    <w:pPr>
      <w:pBdr/>
      <w:spacing/>
      <w:ind/>
    </w:pPr>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0" w:customStyle="1">
    <w:name w:val="List Table 4 - Accent 2"/>
    <w:basedOn w:val="1509"/>
    <w:uiPriority w:val="99"/>
    <w:pPr>
      <w:pBdr/>
      <w:spacing/>
      <w:ind/>
    </w:pPr>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1Vert">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97132"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1" w:customStyle="1">
    <w:name w:val="List Table 4 - Accent 3"/>
    <w:basedOn w:val="1509"/>
    <w:uiPriority w:val="99"/>
    <w:pPr>
      <w:pBdr/>
      <w:spacing/>
      <w:ind/>
    </w:pPr>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1Vert">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6b24"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2" w:customStyle="1">
    <w:name w:val="List Table 4 - Accent 4"/>
    <w:basedOn w:val="1509"/>
    <w:uiPriority w:val="99"/>
    <w:pPr>
      <w:pBdr/>
      <w:spacing/>
      <w:ind/>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1Vert">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f9ed5"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3" w:customStyle="1">
    <w:name w:val="List Table 4 - Accent 5"/>
    <w:basedOn w:val="1509"/>
    <w:uiPriority w:val="99"/>
    <w:pPr>
      <w:pBdr/>
      <w:spacing/>
      <w:ind/>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1Vert">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4" w:customStyle="1">
    <w:name w:val="List Table 4 - Accent 6"/>
    <w:basedOn w:val="1509"/>
    <w:uiPriority w:val="99"/>
    <w:pPr>
      <w:pBdr/>
      <w:spacing/>
      <w:ind/>
    </w:pPr>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1Vert">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5">
    <w:name w:val="List Table 5 Dark"/>
    <w:basedOn w:val="1509"/>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6" w:customStyle="1">
    <w:name w:val="List Table 5 Dark - Accent 1"/>
    <w:basedOn w:val="1509"/>
    <w:uiPriority w:val="99"/>
    <w:pPr>
      <w:pBdr/>
      <w:spacing/>
      <w:ind/>
    </w:pPr>
    <w:tblPr>
      <w:tblStyleRowBandSize w:val="1"/>
      <w:tblStyleColBandSize w:val="1"/>
      <w:tblBorders>
        <w:top w:val="single" w:color="156082" w:themeColor="accent1" w:sz="32" w:space="0"/>
        <w:left w:val="single" w:color="156082" w:themeColor="accent1" w:sz="32" w:space="0"/>
        <w:bottom w:val="single" w:color="156082" w:themeColor="accent1" w:sz="32" w:space="0"/>
        <w:right w:val="single" w:color="156082" w:themeColor="accent1" w:sz="32" w:space="0"/>
      </w:tblBorders>
      <w:shd w:val="clear" w:color="156082" w:themeColor="accent1" w:fill="156082" w:themeFill="accent1"/>
    </w:tblPr>
    <w:tcPr>
      <w:tcBorders/>
    </w:tcPr>
    <w:tblStylePr w:type="band1Horz">
      <w:pPr>
        <w:pBdr/>
        <w:spacing/>
        <w:ind/>
      </w:pPr>
      <w:tblPr>
        <w:tblBorders/>
      </w:tblPr>
      <w:tcPr>
        <w:shd w:val="clear" w:color="156082" w:themeColor="accent1" w:fill="156082"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156082" w:themeColor="accent1" w:fill="156082"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156082" w:themeColor="accent1" w:fill="156082"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156082"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156082" w:themeColor="accent1" w:fill="156082" w:themeFill="accent1"/>
        <w:tcBorders>
          <w:top w:val="single" w:color="156082"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156082"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7" w:customStyle="1">
    <w:name w:val="List Table 5 Dark - Accent 2"/>
    <w:basedOn w:val="1509"/>
    <w:uiPriority w:val="99"/>
    <w:pPr>
      <w:pBdr/>
      <w:spacing/>
      <w:ind/>
    </w:pPr>
    <w:tblPr>
      <w:tblStyleRowBandSize w:val="1"/>
      <w:tblStyleColBandSize w:val="1"/>
      <w:tblBorders>
        <w:top w:val="single" w:color="f2aa85" w:themeColor="accent2" w:themeTint="97" w:sz="32" w:space="0"/>
        <w:left w:val="single" w:color="f2aa85" w:themeColor="accent2" w:themeTint="97" w:sz="32" w:space="0"/>
        <w:bottom w:val="single" w:color="f2aa85" w:themeColor="accent2" w:themeTint="97" w:sz="32" w:space="0"/>
        <w:right w:val="single" w:color="f2aa85" w:themeColor="accent2" w:themeTint="97" w:sz="32" w:space="0"/>
      </w:tblBorders>
      <w:shd w:val="clear" w:color="f2aa85" w:themeColor="accent2" w:themeTint="97" w:fill="f2aa85" w:themeFill="accent2" w:themeFillTint="97"/>
    </w:tblPr>
    <w:tcPr>
      <w:tcBorders/>
    </w:tcPr>
    <w:tblStylePr w:type="band1Horz">
      <w:pPr>
        <w:pBdr/>
        <w:spacing/>
        <w:ind/>
      </w:pPr>
      <w:tblPr>
        <w:tblBorders/>
      </w:tblPr>
      <w:tcPr>
        <w:shd w:val="clear" w:color="f2aa85" w:themeColor="accent2" w:themeTint="97" w:fill="f2aa8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2aa85" w:themeColor="accent2" w:themeTint="97" w:fill="f2aa8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2aa85" w:themeColor="accent2" w:themeTint="97" w:fill="f2aa8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2aa8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2aa85" w:themeColor="accent2" w:themeTint="97" w:fill="f2aa85" w:themeFill="accent2" w:themeFillTint="97"/>
        <w:tcBorders>
          <w:top w:val="single" w:color="f2aa8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2aa8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8" w:customStyle="1">
    <w:name w:val="List Table 5 Dark - Accent 3"/>
    <w:basedOn w:val="1509"/>
    <w:uiPriority w:val="99"/>
    <w:pPr>
      <w:pBdr/>
      <w:spacing/>
      <w:ind/>
    </w:pPr>
    <w:tblPr>
      <w:tblStyleRowBandSize w:val="1"/>
      <w:tblStyleColBandSize w:val="1"/>
      <w:tblBorders>
        <w:top w:val="single" w:color="48d45b" w:themeColor="accent3" w:themeTint="98" w:sz="32" w:space="0"/>
        <w:left w:val="single" w:color="48d45b" w:themeColor="accent3" w:themeTint="98" w:sz="32" w:space="0"/>
        <w:bottom w:val="single" w:color="48d45b" w:themeColor="accent3" w:themeTint="98" w:sz="32" w:space="0"/>
        <w:right w:val="single" w:color="48d45b" w:themeColor="accent3" w:themeTint="98" w:sz="32" w:space="0"/>
      </w:tblBorders>
      <w:shd w:val="clear" w:color="48d45b" w:themeColor="accent3" w:themeTint="98" w:fill="48d45b" w:themeFill="accent3" w:themeFillTint="98"/>
    </w:tblPr>
    <w:tcPr>
      <w:tcBorders/>
    </w:tcPr>
    <w:tblStylePr w:type="band1Horz">
      <w:pPr>
        <w:pBdr/>
        <w:spacing/>
        <w:ind/>
      </w:pPr>
      <w:tblPr>
        <w:tblBorders/>
      </w:tblPr>
      <w:tcPr>
        <w:shd w:val="clear" w:color="48d45b" w:themeColor="accent3" w:themeTint="98" w:fill="48d45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48d45b" w:themeColor="accent3" w:themeTint="98" w:fill="48d45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48d45b" w:themeColor="accent3" w:themeTint="98" w:fill="48d45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8d45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8d45b" w:themeColor="accent3" w:themeTint="98" w:fill="48d45b" w:themeFill="accent3" w:themeFillTint="98"/>
        <w:tcBorders>
          <w:top w:val="single" w:color="48d45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8d45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9" w:customStyle="1">
    <w:name w:val="List Table 5 Dark - Accent 4"/>
    <w:basedOn w:val="1509"/>
    <w:uiPriority w:val="99"/>
    <w:pPr>
      <w:pBdr/>
      <w:spacing/>
      <w:ind/>
    </w:pPr>
    <w:tblPr>
      <w:tblStyleRowBandSize w:val="1"/>
      <w:tblStyleColBandSize w:val="1"/>
      <w:tblBorders>
        <w:top w:val="single" w:color="5fcaf3" w:themeColor="accent4" w:themeTint="9A" w:sz="32" w:space="0"/>
        <w:left w:val="single" w:color="5fcaf3" w:themeColor="accent4" w:themeTint="9A" w:sz="32" w:space="0"/>
        <w:bottom w:val="single" w:color="5fcaf3" w:themeColor="accent4" w:themeTint="9A" w:sz="32" w:space="0"/>
        <w:right w:val="single" w:color="5fcaf3" w:themeColor="accent4" w:themeTint="9A" w:sz="32" w:space="0"/>
      </w:tblBorders>
      <w:shd w:val="clear" w:color="5fcaf3" w:themeColor="accent4" w:themeTint="9A" w:fill="5fcaf3" w:themeFill="accent4" w:themeFillTint="9A"/>
    </w:tblPr>
    <w:tcPr>
      <w:tcBorders/>
    </w:tcPr>
    <w:tblStylePr w:type="band1Horz">
      <w:pPr>
        <w:pBdr/>
        <w:spacing/>
        <w:ind/>
      </w:pPr>
      <w:tblPr>
        <w:tblBorders/>
      </w:tblPr>
      <w:tcPr>
        <w:shd w:val="clear" w:color="5fcaf3" w:themeColor="accent4" w:themeTint="9A" w:fill="5fcaf3"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5fcaf3" w:themeColor="accent4" w:themeTint="9A" w:fill="5fcaf3"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5fcaf3" w:themeColor="accent4" w:themeTint="9A" w:fill="5fcaf3"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5fcaf3"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5fcaf3" w:themeColor="accent4" w:themeTint="9A" w:fill="5fcaf3" w:themeFill="accent4" w:themeFillTint="9A"/>
        <w:tcBorders>
          <w:top w:val="single" w:color="5fcaf3"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5fcaf3"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0" w:customStyle="1">
    <w:name w:val="List Table 5 Dark - Accent 5"/>
    <w:basedOn w:val="1509"/>
    <w:uiPriority w:val="99"/>
    <w:pPr>
      <w:pBdr/>
      <w:spacing/>
      <w:ind/>
    </w:pPr>
    <w:tblPr>
      <w:tblStyleRowBandSize w:val="1"/>
      <w:tblStyleColBandSize w:val="1"/>
      <w:tblBorders>
        <w:top w:val="single" w:color="d76ccb" w:themeColor="accent5" w:themeTint="9A" w:sz="32" w:space="0"/>
        <w:left w:val="single" w:color="d76ccb" w:themeColor="accent5" w:themeTint="9A" w:sz="32" w:space="0"/>
        <w:bottom w:val="single" w:color="d76ccb" w:themeColor="accent5" w:themeTint="9A" w:sz="32" w:space="0"/>
        <w:right w:val="single" w:color="d76ccb" w:themeColor="accent5" w:themeTint="9A" w:sz="32" w:space="0"/>
      </w:tblBorders>
      <w:shd w:val="clear" w:color="d76ccb" w:themeColor="accent5" w:themeTint="9A" w:fill="d76ccb" w:themeFill="accent5" w:themeFillTint="9A"/>
    </w:tblPr>
    <w:tcPr>
      <w:tcBorders/>
    </w:tcPr>
    <w:tblStylePr w:type="band1Horz">
      <w:pPr>
        <w:pBdr/>
        <w:spacing/>
        <w:ind/>
      </w:pPr>
      <w:tblPr>
        <w:tblBorders/>
      </w:tblPr>
      <w:tcPr>
        <w:shd w:val="clear" w:color="d76ccb" w:themeColor="accent5" w:themeTint="9A" w:fill="d76ccb"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d76ccb" w:themeColor="accent5" w:themeTint="9A" w:fill="d76ccb"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d76ccb" w:themeColor="accent5" w:themeTint="9A" w:fill="d76ccb"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76ccb"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76ccb" w:themeColor="accent5" w:themeTint="9A" w:fill="d76ccb" w:themeFill="accent5" w:themeFillTint="9A"/>
        <w:tcBorders>
          <w:top w:val="single" w:color="d76ccb"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76ccb"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1" w:customStyle="1">
    <w:name w:val="List Table 5 Dark - Accent 6"/>
    <w:basedOn w:val="1509"/>
    <w:uiPriority w:val="99"/>
    <w:pPr>
      <w:pBdr/>
      <w:spacing/>
      <w:ind/>
    </w:pPr>
    <w:tblPr>
      <w:tblStyleRowBandSize w:val="1"/>
      <w:tblStyleColBandSize w:val="1"/>
      <w:tblBorders>
        <w:top w:val="single" w:color="8ed873" w:themeColor="accent6" w:themeTint="98" w:sz="32" w:space="0"/>
        <w:left w:val="single" w:color="8ed873" w:themeColor="accent6" w:themeTint="98" w:sz="32" w:space="0"/>
        <w:bottom w:val="single" w:color="8ed873" w:themeColor="accent6" w:themeTint="98" w:sz="32" w:space="0"/>
        <w:right w:val="single" w:color="8ed873" w:themeColor="accent6" w:themeTint="98" w:sz="32" w:space="0"/>
      </w:tblBorders>
      <w:shd w:val="clear" w:color="8ed873" w:themeColor="accent6" w:themeTint="98" w:fill="8ed873" w:themeFill="accent6" w:themeFillTint="98"/>
    </w:tblPr>
    <w:tcPr>
      <w:tcBorders/>
    </w:tcPr>
    <w:tblStylePr w:type="band1Horz">
      <w:pPr>
        <w:pBdr/>
        <w:spacing/>
        <w:ind/>
      </w:pPr>
      <w:tblPr>
        <w:tblBorders/>
      </w:tblPr>
      <w:tcPr>
        <w:shd w:val="clear" w:color="8ed873" w:themeColor="accent6" w:themeTint="98" w:fill="8ed873"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8ed873" w:themeColor="accent6" w:themeTint="98" w:fill="8ed873"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8ed873" w:themeColor="accent6" w:themeTint="98" w:fill="8ed873"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ed873"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ed873" w:themeColor="accent6" w:themeTint="98" w:fill="8ed873" w:themeFill="accent6" w:themeFillTint="98"/>
        <w:tcBorders>
          <w:top w:val="single" w:color="8ed873"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ed873"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2">
    <w:name w:val="List Table 6 Colorful"/>
    <w:basedOn w:val="1509"/>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3" w:customStyle="1">
    <w:name w:val="List Table 6 Colorful - Accent 1"/>
    <w:basedOn w:val="1509"/>
    <w:uiPriority w:val="99"/>
    <w:pPr>
      <w:pBdr/>
      <w:spacing/>
      <w:ind/>
    </w:pPr>
    <w:tblPr>
      <w:tblStyleRowBandSize w:val="1"/>
      <w:tblStyleColBandSize w:val="1"/>
      <w:tblBorders>
        <w:top w:val="single" w:color="156082" w:themeColor="accent1" w:sz="4" w:space="0"/>
        <w:bottom w:val="single" w:color="156082" w:themeColor="accent1" w:sz="4" w:space="0"/>
      </w:tblBorders>
    </w:tblPr>
    <w:tcPr>
      <w:tcBorders/>
    </w:tcPr>
    <w:tblStylePr w:type="band1Horz">
      <w:rPr>
        <w:rFonts w:ascii="Arial" w:hAnsi="Arial"/>
        <w:color w:val="0c374b" w:themeColor="accent1" w:themeShade="95"/>
        <w:sz w:val="22"/>
      </w:rPr>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rPr>
        <w:rFonts w:ascii="Arial" w:hAnsi="Arial"/>
        <w:color w:val="0c374b"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74b" w:themeColor="accent1" w:themeShade="95"/>
      </w:rPr>
      <w:pPr>
        <w:pBdr/>
        <w:spacing/>
        <w:ind/>
      </w:pPr>
      <w:tblPr>
        <w:tblBorders/>
      </w:tblPr>
      <w:tcPr>
        <w:tcBorders/>
      </w:tcPr>
    </w:tblStylePr>
    <w:tblStylePr w:type="firstRow">
      <w:rPr>
        <w:b/>
        <w:color w:val="0c374b" w:themeColor="accent1" w:themeShade="95"/>
      </w:rPr>
      <w:pPr>
        <w:pBdr/>
        <w:spacing/>
        <w:ind/>
      </w:pPr>
      <w:tblPr>
        <w:tblBorders/>
      </w:tblPr>
      <w:tcPr>
        <w:tcBorders>
          <w:bottom w:val="single" w:color="156082" w:themeColor="accent1" w:sz="4" w:space="0"/>
        </w:tcBorders>
      </w:tcPr>
    </w:tblStylePr>
    <w:tblStylePr w:type="lastCol">
      <w:rPr>
        <w:b/>
        <w:color w:val="0c374b" w:themeColor="accent1" w:themeShade="95"/>
      </w:rPr>
      <w:pPr>
        <w:pBdr/>
        <w:spacing/>
        <w:ind/>
      </w:pPr>
      <w:tblPr>
        <w:tblBorders/>
      </w:tblPr>
      <w:tcPr>
        <w:tcBorders/>
      </w:tcPr>
    </w:tblStylePr>
    <w:tblStylePr w:type="lastRow">
      <w:rPr>
        <w:b/>
        <w:color w:val="0c374b" w:themeColor="accent1" w:themeShade="95"/>
      </w:rPr>
      <w:pPr>
        <w:pBdr/>
        <w:spacing/>
        <w:ind/>
      </w:pPr>
      <w:tblPr>
        <w:tblBorders/>
      </w:tblPr>
      <w:tcPr>
        <w:tcBorders>
          <w:top w:val="single" w:color="156082"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4" w:customStyle="1">
    <w:name w:val="List Table 6 Colorful - Accent 2"/>
    <w:basedOn w:val="1509"/>
    <w:uiPriority w:val="99"/>
    <w:pPr>
      <w:pBdr/>
      <w:spacing/>
      <w:ind/>
    </w:pPr>
    <w:tblPr>
      <w:tblStyleRowBandSize w:val="1"/>
      <w:tblStyleColBandSize w:val="1"/>
      <w:tblBorders>
        <w:top w:val="single" w:color="f2aa85" w:themeColor="accent2" w:themeTint="97" w:sz="4" w:space="0"/>
        <w:bottom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2aa85" w:themeColor="accent2" w:themeTint="97" w:themeShade="95"/>
      </w:rPr>
      <w:pPr>
        <w:pBdr/>
        <w:spacing/>
        <w:ind/>
      </w:pPr>
      <w:tblPr>
        <w:tblBorders/>
      </w:tblPr>
      <w:tcPr>
        <w:tcBorders/>
      </w:tcPr>
    </w:tblStylePr>
    <w:tblStylePr w:type="firstRow">
      <w:rPr>
        <w:b/>
        <w:color w:val="f2aa85" w:themeColor="accent2" w:themeTint="97" w:themeShade="95"/>
      </w:rPr>
      <w:pPr>
        <w:pBdr/>
        <w:spacing/>
        <w:ind/>
      </w:pPr>
      <w:tblPr>
        <w:tblBorders/>
      </w:tblPr>
      <w:tcPr>
        <w:tcBorders>
          <w:bottom w:val="single" w:color="f2aa85" w:themeColor="accent2" w:themeTint="97" w:sz="4" w:space="0"/>
        </w:tcBorders>
      </w:tcPr>
    </w:tblStylePr>
    <w:tblStylePr w:type="lastCol">
      <w:rPr>
        <w:b/>
        <w:color w:val="f2aa85" w:themeColor="accent2" w:themeTint="97" w:themeShade="95"/>
      </w:rPr>
      <w:pPr>
        <w:pBdr/>
        <w:spacing/>
        <w:ind/>
      </w:pPr>
      <w:tblPr>
        <w:tblBorders/>
      </w:tblPr>
      <w:tcPr>
        <w:tcBorders/>
      </w:tcPr>
    </w:tblStylePr>
    <w:tblStylePr w:type="lastRow">
      <w:rPr>
        <w:b/>
        <w:color w:val="f2aa85" w:themeColor="accent2" w:themeTint="97" w:themeShade="95"/>
      </w:rPr>
      <w:pPr>
        <w:pBdr/>
        <w:spacing/>
        <w:ind/>
      </w:pPr>
      <w:tblPr>
        <w:tblBorders/>
      </w:tblPr>
      <w:tcPr>
        <w:tcBorders>
          <w:top w:val="single" w:color="f2aa8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5" w:customStyle="1">
    <w:name w:val="List Table 6 Colorful - Accent 3"/>
    <w:basedOn w:val="1509"/>
    <w:uiPriority w:val="99"/>
    <w:pPr>
      <w:pBdr/>
      <w:spacing/>
      <w:ind/>
    </w:pPr>
    <w:tblPr>
      <w:tblStyleRowBandSize w:val="1"/>
      <w:tblStyleColBandSize w:val="1"/>
      <w:tblBorders>
        <w:top w:val="single" w:color="48d45b" w:themeColor="accent3" w:themeTint="98" w:sz="4" w:space="0"/>
        <w:bottom w:val="single" w:color="48d45b" w:themeColor="accent3" w:themeTint="98" w:sz="4" w:space="0"/>
      </w:tblBorders>
    </w:tblPr>
    <w:tcPr>
      <w:tcBorders/>
    </w:tcPr>
    <w:tblStylePr w:type="band1Horz">
      <w:rPr>
        <w:rFonts w:ascii="Arial" w:hAnsi="Arial"/>
        <w:color w:val="48d45b" w:themeColor="accent3" w:themeTint="98" w:themeShade="95"/>
        <w:sz w:val="22"/>
      </w:rPr>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rPr>
        <w:rFonts w:ascii="Arial" w:hAnsi="Arial"/>
        <w:color w:val="48d45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8d45b" w:themeColor="accent3" w:themeTint="98" w:themeShade="95"/>
      </w:rPr>
      <w:pPr>
        <w:pBdr/>
        <w:spacing/>
        <w:ind/>
      </w:pPr>
      <w:tblPr>
        <w:tblBorders/>
      </w:tblPr>
      <w:tcPr>
        <w:tcBorders/>
      </w:tcPr>
    </w:tblStylePr>
    <w:tblStylePr w:type="firstRow">
      <w:rPr>
        <w:b/>
        <w:color w:val="48d45b" w:themeColor="accent3" w:themeTint="98" w:themeShade="95"/>
      </w:rPr>
      <w:pPr>
        <w:pBdr/>
        <w:spacing/>
        <w:ind/>
      </w:pPr>
      <w:tblPr>
        <w:tblBorders/>
      </w:tblPr>
      <w:tcPr>
        <w:tcBorders>
          <w:bottom w:val="single" w:color="48d45b" w:themeColor="accent3" w:themeTint="98" w:sz="4" w:space="0"/>
        </w:tcBorders>
      </w:tcPr>
    </w:tblStylePr>
    <w:tblStylePr w:type="lastCol">
      <w:rPr>
        <w:b/>
        <w:color w:val="48d45b" w:themeColor="accent3" w:themeTint="98" w:themeShade="95"/>
      </w:rPr>
      <w:pPr>
        <w:pBdr/>
        <w:spacing/>
        <w:ind/>
      </w:pPr>
      <w:tblPr>
        <w:tblBorders/>
      </w:tblPr>
      <w:tcPr>
        <w:tcBorders/>
      </w:tcPr>
    </w:tblStylePr>
    <w:tblStylePr w:type="lastRow">
      <w:rPr>
        <w:b/>
        <w:color w:val="48d45b" w:themeColor="accent3" w:themeTint="98" w:themeShade="95"/>
      </w:rPr>
      <w:pPr>
        <w:pBdr/>
        <w:spacing/>
        <w:ind/>
      </w:pPr>
      <w:tblPr>
        <w:tblBorders/>
      </w:tblPr>
      <w:tcPr>
        <w:tcBorders>
          <w:top w:val="single" w:color="48d45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6" w:customStyle="1">
    <w:name w:val="List Table 6 Colorful - Accent 4"/>
    <w:basedOn w:val="1509"/>
    <w:uiPriority w:val="99"/>
    <w:pPr>
      <w:pBdr/>
      <w:spacing/>
      <w:ind/>
    </w:pPr>
    <w:tblPr>
      <w:tblStyleRowBandSize w:val="1"/>
      <w:tblStyleColBandSize w:val="1"/>
      <w:tblBorders>
        <w:top w:val="single" w:color="5fcaf3" w:themeColor="accent4" w:themeTint="9A" w:sz="4" w:space="0"/>
        <w:bottom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caf3" w:themeColor="accent4" w:themeTint="9A" w:themeShade="95"/>
      </w:rPr>
      <w:pPr>
        <w:pBdr/>
        <w:spacing/>
        <w:ind/>
      </w:pPr>
      <w:tblPr>
        <w:tblBorders/>
      </w:tblPr>
      <w:tcPr>
        <w:tcBorders/>
      </w:tcPr>
    </w:tblStylePr>
    <w:tblStylePr w:type="firstRow">
      <w:rPr>
        <w:b/>
        <w:color w:val="5fcaf3" w:themeColor="accent4" w:themeTint="9A" w:themeShade="95"/>
      </w:rPr>
      <w:pPr>
        <w:pBdr/>
        <w:spacing/>
        <w:ind/>
      </w:pPr>
      <w:tblPr>
        <w:tblBorders/>
      </w:tblPr>
      <w:tcPr>
        <w:tcBorders>
          <w:bottom w:val="single" w:color="5fcaf3" w:themeColor="accent4" w:themeTint="9A" w:sz="4" w:space="0"/>
        </w:tcBorders>
      </w:tcPr>
    </w:tblStylePr>
    <w:tblStylePr w:type="lastCol">
      <w:rPr>
        <w:b/>
        <w:color w:val="5fcaf3" w:themeColor="accent4" w:themeTint="9A" w:themeShade="95"/>
      </w:rPr>
      <w:pPr>
        <w:pBdr/>
        <w:spacing/>
        <w:ind/>
      </w:pPr>
      <w:tblPr>
        <w:tblBorders/>
      </w:tblPr>
      <w:tcPr>
        <w:tcBorders/>
      </w:tcPr>
    </w:tblStylePr>
    <w:tblStylePr w:type="lastRow">
      <w:rPr>
        <w:b/>
        <w:color w:val="5fcaf3" w:themeColor="accent4" w:themeTint="9A" w:themeShade="95"/>
      </w:rPr>
      <w:pPr>
        <w:pBdr/>
        <w:spacing/>
        <w:ind/>
      </w:pPr>
      <w:tblPr>
        <w:tblBorders/>
      </w:tblPr>
      <w:tcPr>
        <w:tcBorders>
          <w:top w:val="single" w:color="5fcaf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7" w:customStyle="1">
    <w:name w:val="List Table 6 Colorful - Accent 5"/>
    <w:basedOn w:val="1509"/>
    <w:uiPriority w:val="99"/>
    <w:pPr>
      <w:pBdr/>
      <w:spacing/>
      <w:ind/>
    </w:pPr>
    <w:tblPr>
      <w:tblStyleRowBandSize w:val="1"/>
      <w:tblStyleColBandSize w:val="1"/>
      <w:tblBorders>
        <w:top w:val="single" w:color="d76ccb" w:themeColor="accent5" w:themeTint="9A" w:sz="4" w:space="0"/>
        <w:bottom w:val="single" w:color="d76ccb" w:themeColor="accent5" w:themeTint="9A" w:sz="4" w:space="0"/>
      </w:tblBorders>
    </w:tblPr>
    <w:tcPr>
      <w:tcBorders/>
    </w:tcPr>
    <w:tblStylePr w:type="band1Horz">
      <w:rPr>
        <w:rFonts w:ascii="Arial" w:hAnsi="Arial"/>
        <w:color w:val="d76ccb" w:themeColor="accent5" w:themeTint="9A" w:themeShade="95"/>
        <w:sz w:val="22"/>
      </w:rPr>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rPr>
        <w:rFonts w:ascii="Arial" w:hAnsi="Arial"/>
        <w:color w:val="d76cc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76ccb" w:themeColor="accent5" w:themeTint="9A" w:themeShade="95"/>
      </w:rPr>
      <w:pPr>
        <w:pBdr/>
        <w:spacing/>
        <w:ind/>
      </w:pPr>
      <w:tblPr>
        <w:tblBorders/>
      </w:tblPr>
      <w:tcPr>
        <w:tcBorders/>
      </w:tcPr>
    </w:tblStylePr>
    <w:tblStylePr w:type="firstRow">
      <w:rPr>
        <w:b/>
        <w:color w:val="d76ccb" w:themeColor="accent5" w:themeTint="9A" w:themeShade="95"/>
      </w:rPr>
      <w:pPr>
        <w:pBdr/>
        <w:spacing/>
        <w:ind/>
      </w:pPr>
      <w:tblPr>
        <w:tblBorders/>
      </w:tblPr>
      <w:tcPr>
        <w:tcBorders>
          <w:bottom w:val="single" w:color="d76ccb" w:themeColor="accent5" w:themeTint="9A" w:sz="4" w:space="0"/>
        </w:tcBorders>
      </w:tcPr>
    </w:tblStylePr>
    <w:tblStylePr w:type="lastCol">
      <w:rPr>
        <w:b/>
        <w:color w:val="d76ccb" w:themeColor="accent5" w:themeTint="9A" w:themeShade="95"/>
      </w:rPr>
      <w:pPr>
        <w:pBdr/>
        <w:spacing/>
        <w:ind/>
      </w:pPr>
      <w:tblPr>
        <w:tblBorders/>
      </w:tblPr>
      <w:tcPr>
        <w:tcBorders/>
      </w:tcPr>
    </w:tblStylePr>
    <w:tblStylePr w:type="lastRow">
      <w:rPr>
        <w:b/>
        <w:color w:val="d76ccb" w:themeColor="accent5" w:themeTint="9A" w:themeShade="95"/>
      </w:rPr>
      <w:pPr>
        <w:pBdr/>
        <w:spacing/>
        <w:ind/>
      </w:pPr>
      <w:tblPr>
        <w:tblBorders/>
      </w:tblPr>
      <w:tcPr>
        <w:tcBorders>
          <w:top w:val="single" w:color="d76ccb"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8" w:customStyle="1">
    <w:name w:val="List Table 6 Colorful - Accent 6"/>
    <w:basedOn w:val="1509"/>
    <w:uiPriority w:val="99"/>
    <w:pPr>
      <w:pBdr/>
      <w:spacing/>
      <w:ind/>
    </w:pPr>
    <w:tblPr>
      <w:tblStyleRowBandSize w:val="1"/>
      <w:tblStyleColBandSize w:val="1"/>
      <w:tblBorders>
        <w:top w:val="single" w:color="8ed873" w:themeColor="accent6" w:themeTint="98" w:sz="4" w:space="0"/>
        <w:bottom w:val="single" w:color="8ed873" w:themeColor="accent6" w:themeTint="98" w:sz="4" w:space="0"/>
      </w:tblBorders>
    </w:tblPr>
    <w:tcPr>
      <w:tcBorders/>
    </w:tcPr>
    <w:tblStylePr w:type="band1Horz">
      <w:rPr>
        <w:rFonts w:ascii="Arial" w:hAnsi="Arial"/>
        <w:color w:val="8ed873" w:themeColor="accent6" w:themeTint="98" w:themeShade="95"/>
        <w:sz w:val="22"/>
      </w:rPr>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rPr>
        <w:rFonts w:ascii="Arial" w:hAnsi="Arial"/>
        <w:color w:val="8ed873"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ed873" w:themeColor="accent6" w:themeTint="98" w:themeShade="95"/>
      </w:rPr>
      <w:pPr>
        <w:pBdr/>
        <w:spacing/>
        <w:ind/>
      </w:pPr>
      <w:tblPr>
        <w:tblBorders/>
      </w:tblPr>
      <w:tcPr>
        <w:tcBorders/>
      </w:tcPr>
    </w:tblStylePr>
    <w:tblStylePr w:type="firstRow">
      <w:rPr>
        <w:b/>
        <w:color w:val="8ed873" w:themeColor="accent6" w:themeTint="98" w:themeShade="95"/>
      </w:rPr>
      <w:pPr>
        <w:pBdr/>
        <w:spacing/>
        <w:ind/>
      </w:pPr>
      <w:tblPr>
        <w:tblBorders/>
      </w:tblPr>
      <w:tcPr>
        <w:tcBorders>
          <w:bottom w:val="single" w:color="8ed873" w:themeColor="accent6" w:themeTint="98" w:sz="4" w:space="0"/>
        </w:tcBorders>
      </w:tcPr>
    </w:tblStylePr>
    <w:tblStylePr w:type="lastCol">
      <w:rPr>
        <w:b/>
        <w:color w:val="8ed873" w:themeColor="accent6" w:themeTint="98" w:themeShade="95"/>
      </w:rPr>
      <w:pPr>
        <w:pBdr/>
        <w:spacing/>
        <w:ind/>
      </w:pPr>
      <w:tblPr>
        <w:tblBorders/>
      </w:tblPr>
      <w:tcPr>
        <w:tcBorders/>
      </w:tcPr>
    </w:tblStylePr>
    <w:tblStylePr w:type="lastRow">
      <w:rPr>
        <w:b/>
        <w:color w:val="8ed873" w:themeColor="accent6" w:themeTint="98" w:themeShade="95"/>
      </w:rPr>
      <w:pPr>
        <w:pBdr/>
        <w:spacing/>
        <w:ind/>
      </w:pPr>
      <w:tblPr>
        <w:tblBorders/>
      </w:tblPr>
      <w:tcPr>
        <w:tcBorders>
          <w:top w:val="single" w:color="8ed873"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9">
    <w:name w:val="List Table 7 Colorful"/>
    <w:basedOn w:val="1509"/>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0" w:customStyle="1">
    <w:name w:val="List Table 7 Colorful - Accent 1"/>
    <w:basedOn w:val="1509"/>
    <w:uiPriority w:val="99"/>
    <w:pPr>
      <w:pBdr/>
      <w:spacing/>
      <w:ind/>
    </w:pPr>
    <w:tblPr>
      <w:tblStyleRowBandSize w:val="1"/>
      <w:tblStyleColBandSize w:val="1"/>
      <w:tblBorders>
        <w:right w:val="single" w:color="156082" w:themeColor="accent1" w:sz="4" w:space="0"/>
      </w:tblBorders>
    </w:tblPr>
    <w:tcPr>
      <w:tcBorders/>
    </w:tcPr>
    <w:tblStylePr w:type="band1Horz">
      <w:rPr>
        <w:rFonts w:ascii="Arial" w:hAnsi="Arial"/>
        <w:color w:val="0c374b" w:themeColor="accent1" w:themeShade="95"/>
        <w:sz w:val="22"/>
      </w:rPr>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rPr>
        <w:rFonts w:ascii="Arial" w:hAnsi="Arial"/>
        <w:color w:val="0c374b"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74b"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156082" w:themeColor="accent1" w:sz="4" w:space="0"/>
        </w:tcBorders>
      </w:tcPr>
    </w:tblStylePr>
    <w:tblStylePr w:type="firstRow">
      <w:rPr>
        <w:rFonts w:ascii="Arial" w:hAnsi="Arial"/>
        <w:i/>
        <w:color w:val="0c374b"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156082" w:themeColor="accent1" w:sz="4" w:space="0"/>
          <w:right w:val="none" w:color="000000" w:sz="4" w:space="0"/>
        </w:tcBorders>
      </w:tcPr>
    </w:tblStylePr>
    <w:tblStylePr w:type="lastCol">
      <w:rPr>
        <w:rFonts w:ascii="Arial" w:hAnsi="Arial"/>
        <w:i/>
        <w:color w:val="0c374b" w:themeColor="accent1" w:themeShade="95"/>
        <w:sz w:val="22"/>
      </w:rPr>
      <w:pPr>
        <w:pBdr/>
        <w:spacing/>
        <w:ind/>
      </w:pPr>
      <w:tblPr>
        <w:tblBorders/>
      </w:tblPr>
      <w:tcPr>
        <w:shd w:val="clear" w:color="ffffff" w:fill="auto"/>
        <w:tcBorders>
          <w:top w:val="none" w:color="000000" w:sz="4" w:space="0"/>
          <w:left w:val="single" w:color="156082" w:themeColor="accent1" w:sz="4" w:space="0"/>
          <w:bottom w:val="none" w:color="000000" w:sz="4" w:space="0"/>
          <w:right w:val="none" w:color="000000" w:sz="4" w:space="0"/>
        </w:tcBorders>
      </w:tcPr>
    </w:tblStylePr>
    <w:tblStylePr w:type="lastRow">
      <w:rPr>
        <w:rFonts w:ascii="Arial" w:hAnsi="Arial"/>
        <w:i/>
        <w:color w:val="0c374b" w:themeColor="accent1" w:themeShade="95"/>
        <w:sz w:val="22"/>
      </w:rPr>
      <w:pPr>
        <w:pBdr/>
        <w:spacing/>
        <w:ind/>
      </w:pPr>
      <w:tblPr>
        <w:tblBorders/>
      </w:tblPr>
      <w:tcPr>
        <w:shd w:val="clear" w:color="ffffff" w:themeColor="light1" w:fill="ffffff" w:themeFill="light1"/>
        <w:tcBorders>
          <w:top w:val="single" w:color="156082"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1" w:customStyle="1">
    <w:name w:val="List Table 7 Colorful - Accent 2"/>
    <w:basedOn w:val="1509"/>
    <w:uiPriority w:val="99"/>
    <w:pPr>
      <w:pBdr/>
      <w:spacing/>
      <w:ind/>
    </w:pPr>
    <w:tblPr>
      <w:tblStyleRowBandSize w:val="1"/>
      <w:tblStyleColBandSize w:val="1"/>
      <w:tblBorders>
        <w:right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2aa8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2aa85" w:themeColor="accent2" w:themeTint="97" w:sz="4" w:space="0"/>
        </w:tcBorders>
      </w:tcPr>
    </w:tblStylePr>
    <w:tblStylePr w:type="firstRow">
      <w:rPr>
        <w:rFonts w:ascii="Arial" w:hAnsi="Arial"/>
        <w:i/>
        <w:color w:val="f2aa8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2aa85" w:themeColor="accent2" w:themeTint="97" w:sz="4" w:space="0"/>
          <w:right w:val="none" w:color="000000" w:sz="4" w:space="0"/>
        </w:tcBorders>
      </w:tcPr>
    </w:tblStylePr>
    <w:tblStylePr w:type="lastCol">
      <w:rPr>
        <w:rFonts w:ascii="Arial" w:hAnsi="Arial"/>
        <w:i/>
        <w:color w:val="f2aa85" w:themeColor="accent2" w:themeTint="97" w:themeShade="95"/>
        <w:sz w:val="22"/>
      </w:rPr>
      <w:pPr>
        <w:pBdr/>
        <w:spacing/>
        <w:ind/>
      </w:pPr>
      <w:tblPr>
        <w:tblBorders/>
      </w:tblPr>
      <w:tcPr>
        <w:shd w:val="clear" w:color="ffffff" w:fill="auto"/>
        <w:tcBorders>
          <w:top w:val="none" w:color="000000" w:sz="4" w:space="0"/>
          <w:left w:val="single" w:color="f2aa85" w:themeColor="accent2" w:themeTint="97" w:sz="4" w:space="0"/>
          <w:bottom w:val="none" w:color="000000" w:sz="4" w:space="0"/>
          <w:right w:val="none" w:color="000000" w:sz="4" w:space="0"/>
        </w:tcBorders>
      </w:tcPr>
    </w:tblStylePr>
    <w:tblStylePr w:type="lastRow">
      <w:rPr>
        <w:rFonts w:ascii="Arial" w:hAnsi="Arial"/>
        <w:i/>
        <w:color w:val="f2aa85" w:themeColor="accent2" w:themeTint="97" w:themeShade="95"/>
        <w:sz w:val="22"/>
      </w:rPr>
      <w:pPr>
        <w:pBdr/>
        <w:spacing/>
        <w:ind/>
      </w:pPr>
      <w:tblPr>
        <w:tblBorders/>
      </w:tblPr>
      <w:tcPr>
        <w:shd w:val="clear" w:color="ffffff" w:themeColor="light1" w:fill="ffffff" w:themeFill="light1"/>
        <w:tcBorders>
          <w:top w:val="single" w:color="f2aa8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2" w:customStyle="1">
    <w:name w:val="List Table 7 Colorful - Accent 3"/>
    <w:basedOn w:val="1509"/>
    <w:uiPriority w:val="99"/>
    <w:pPr>
      <w:pBdr/>
      <w:spacing/>
      <w:ind/>
    </w:pPr>
    <w:tblPr>
      <w:tblStyleRowBandSize w:val="1"/>
      <w:tblStyleColBandSize w:val="1"/>
      <w:tblBorders>
        <w:right w:val="single" w:color="48d45b" w:themeColor="accent3" w:themeTint="98" w:sz="4" w:space="0"/>
      </w:tblBorders>
    </w:tblPr>
    <w:tcPr>
      <w:tcBorders/>
    </w:tcPr>
    <w:tblStylePr w:type="band1Horz">
      <w:rPr>
        <w:rFonts w:ascii="Arial" w:hAnsi="Arial"/>
        <w:color w:val="48d45b" w:themeColor="accent3" w:themeTint="98" w:themeShade="95"/>
        <w:sz w:val="22"/>
      </w:rPr>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rPr>
        <w:rFonts w:ascii="Arial" w:hAnsi="Arial"/>
        <w:color w:val="48d45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8d45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8d45b" w:themeColor="accent3" w:themeTint="98" w:sz="4" w:space="0"/>
        </w:tcBorders>
      </w:tcPr>
    </w:tblStylePr>
    <w:tblStylePr w:type="firstRow">
      <w:rPr>
        <w:rFonts w:ascii="Arial" w:hAnsi="Arial"/>
        <w:i/>
        <w:color w:val="48d45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8d45b" w:themeColor="accent3" w:themeTint="98" w:sz="4" w:space="0"/>
          <w:right w:val="none" w:color="000000" w:sz="4" w:space="0"/>
        </w:tcBorders>
      </w:tcPr>
    </w:tblStylePr>
    <w:tblStylePr w:type="lastCol">
      <w:rPr>
        <w:rFonts w:ascii="Arial" w:hAnsi="Arial"/>
        <w:i/>
        <w:color w:val="48d45b" w:themeColor="accent3" w:themeTint="98" w:themeShade="95"/>
        <w:sz w:val="22"/>
      </w:rPr>
      <w:pPr>
        <w:pBdr/>
        <w:spacing/>
        <w:ind/>
      </w:pPr>
      <w:tblPr>
        <w:tblBorders/>
      </w:tblPr>
      <w:tcPr>
        <w:shd w:val="clear" w:color="ffffff" w:fill="auto"/>
        <w:tcBorders>
          <w:top w:val="none" w:color="000000" w:sz="4" w:space="0"/>
          <w:left w:val="single" w:color="48d45b" w:themeColor="accent3" w:themeTint="98" w:sz="4" w:space="0"/>
          <w:bottom w:val="none" w:color="000000" w:sz="4" w:space="0"/>
          <w:right w:val="none" w:color="000000" w:sz="4" w:space="0"/>
        </w:tcBorders>
      </w:tcPr>
    </w:tblStylePr>
    <w:tblStylePr w:type="lastRow">
      <w:rPr>
        <w:rFonts w:ascii="Arial" w:hAnsi="Arial"/>
        <w:i/>
        <w:color w:val="48d45b" w:themeColor="accent3" w:themeTint="98" w:themeShade="95"/>
        <w:sz w:val="22"/>
      </w:rPr>
      <w:pPr>
        <w:pBdr/>
        <w:spacing/>
        <w:ind/>
      </w:pPr>
      <w:tblPr>
        <w:tblBorders/>
      </w:tblPr>
      <w:tcPr>
        <w:shd w:val="clear" w:color="ffffff" w:themeColor="light1" w:fill="ffffff" w:themeFill="light1"/>
        <w:tcBorders>
          <w:top w:val="single" w:color="48d45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3" w:customStyle="1">
    <w:name w:val="List Table 7 Colorful - Accent 4"/>
    <w:basedOn w:val="1509"/>
    <w:uiPriority w:val="99"/>
    <w:pPr>
      <w:pBdr/>
      <w:spacing/>
      <w:ind/>
    </w:pPr>
    <w:tblPr>
      <w:tblStyleRowBandSize w:val="1"/>
      <w:tblStyleColBandSize w:val="1"/>
      <w:tblBorders>
        <w:right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caf3"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5fcaf3" w:themeColor="accent4" w:themeTint="9A" w:sz="4" w:space="0"/>
        </w:tcBorders>
      </w:tcPr>
    </w:tblStylePr>
    <w:tblStylePr w:type="firstRow">
      <w:rPr>
        <w:rFonts w:ascii="Arial" w:hAnsi="Arial"/>
        <w:i/>
        <w:color w:val="5fcaf3"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5fcaf3" w:themeColor="accent4" w:themeTint="9A" w:sz="4" w:space="0"/>
          <w:right w:val="none" w:color="000000" w:sz="4" w:space="0"/>
        </w:tcBorders>
      </w:tcPr>
    </w:tblStylePr>
    <w:tblStylePr w:type="lastCol">
      <w:rPr>
        <w:rFonts w:ascii="Arial" w:hAnsi="Arial"/>
        <w:i/>
        <w:color w:val="5fcaf3" w:themeColor="accent4" w:themeTint="9A" w:themeShade="95"/>
        <w:sz w:val="22"/>
      </w:rPr>
      <w:pPr>
        <w:pBdr/>
        <w:spacing/>
        <w:ind/>
      </w:pPr>
      <w:tblPr>
        <w:tblBorders/>
      </w:tblPr>
      <w:tcPr>
        <w:shd w:val="clear" w:color="ffffff" w:fill="auto"/>
        <w:tcBorders>
          <w:top w:val="none" w:color="000000" w:sz="4" w:space="0"/>
          <w:left w:val="single" w:color="5fcaf3" w:themeColor="accent4" w:themeTint="9A" w:sz="4" w:space="0"/>
          <w:bottom w:val="none" w:color="000000" w:sz="4" w:space="0"/>
          <w:right w:val="none" w:color="000000" w:sz="4" w:space="0"/>
        </w:tcBorders>
      </w:tcPr>
    </w:tblStylePr>
    <w:tblStylePr w:type="lastRow">
      <w:rPr>
        <w:rFonts w:ascii="Arial" w:hAnsi="Arial"/>
        <w:i/>
        <w:color w:val="5fcaf3" w:themeColor="accent4" w:themeTint="9A" w:themeShade="95"/>
        <w:sz w:val="22"/>
      </w:rPr>
      <w:pPr>
        <w:pBdr/>
        <w:spacing/>
        <w:ind/>
      </w:pPr>
      <w:tblPr>
        <w:tblBorders/>
      </w:tblPr>
      <w:tcPr>
        <w:shd w:val="clear" w:color="ffffff" w:themeColor="light1" w:fill="ffffff" w:themeFill="light1"/>
        <w:tcBorders>
          <w:top w:val="single" w:color="5fcaf3"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4" w:customStyle="1">
    <w:name w:val="List Table 7 Colorful - Accent 5"/>
    <w:basedOn w:val="1509"/>
    <w:uiPriority w:val="99"/>
    <w:pPr>
      <w:pBdr/>
      <w:spacing/>
      <w:ind/>
    </w:pPr>
    <w:tblPr>
      <w:tblStyleRowBandSize w:val="1"/>
      <w:tblStyleColBandSize w:val="1"/>
      <w:tblBorders>
        <w:right w:val="single" w:color="d76ccb" w:themeColor="accent5" w:themeTint="9A" w:sz="4" w:space="0"/>
      </w:tblBorders>
    </w:tblPr>
    <w:tcPr>
      <w:tcBorders/>
    </w:tcPr>
    <w:tblStylePr w:type="band1Horz">
      <w:rPr>
        <w:rFonts w:ascii="Arial" w:hAnsi="Arial"/>
        <w:color w:val="d76ccb" w:themeColor="accent5" w:themeTint="9A" w:themeShade="95"/>
        <w:sz w:val="22"/>
      </w:rPr>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rPr>
        <w:rFonts w:ascii="Arial" w:hAnsi="Arial"/>
        <w:color w:val="d76cc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76ccb"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76ccb" w:themeColor="accent5" w:themeTint="9A" w:sz="4" w:space="0"/>
        </w:tcBorders>
      </w:tcPr>
    </w:tblStylePr>
    <w:tblStylePr w:type="firstRow">
      <w:rPr>
        <w:rFonts w:ascii="Arial" w:hAnsi="Arial"/>
        <w:i/>
        <w:color w:val="d76ccb"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76ccb" w:themeColor="accent5" w:themeTint="9A" w:sz="4" w:space="0"/>
          <w:right w:val="none" w:color="000000" w:sz="4" w:space="0"/>
        </w:tcBorders>
      </w:tcPr>
    </w:tblStylePr>
    <w:tblStylePr w:type="lastCol">
      <w:rPr>
        <w:rFonts w:ascii="Arial" w:hAnsi="Arial"/>
        <w:i/>
        <w:color w:val="d76ccb" w:themeColor="accent5" w:themeTint="9A" w:themeShade="95"/>
        <w:sz w:val="22"/>
      </w:rPr>
      <w:pPr>
        <w:pBdr/>
        <w:spacing/>
        <w:ind/>
      </w:pPr>
      <w:tblPr>
        <w:tblBorders/>
      </w:tblPr>
      <w:tcPr>
        <w:shd w:val="clear" w:color="ffffff" w:fill="auto"/>
        <w:tcBorders>
          <w:top w:val="none" w:color="000000" w:sz="4" w:space="0"/>
          <w:left w:val="single" w:color="d76ccb" w:themeColor="accent5" w:themeTint="9A" w:sz="4" w:space="0"/>
          <w:bottom w:val="none" w:color="000000" w:sz="4" w:space="0"/>
          <w:right w:val="none" w:color="000000" w:sz="4" w:space="0"/>
        </w:tcBorders>
      </w:tcPr>
    </w:tblStylePr>
    <w:tblStylePr w:type="lastRow">
      <w:rPr>
        <w:rFonts w:ascii="Arial" w:hAnsi="Arial"/>
        <w:i/>
        <w:color w:val="d76ccb" w:themeColor="accent5" w:themeTint="9A" w:themeShade="95"/>
        <w:sz w:val="22"/>
      </w:rPr>
      <w:pPr>
        <w:pBdr/>
        <w:spacing/>
        <w:ind/>
      </w:pPr>
      <w:tblPr>
        <w:tblBorders/>
      </w:tblPr>
      <w:tcPr>
        <w:shd w:val="clear" w:color="ffffff" w:themeColor="light1" w:fill="ffffff" w:themeFill="light1"/>
        <w:tcBorders>
          <w:top w:val="single" w:color="d76ccb"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5" w:customStyle="1">
    <w:name w:val="List Table 7 Colorful - Accent 6"/>
    <w:basedOn w:val="1509"/>
    <w:uiPriority w:val="99"/>
    <w:pPr>
      <w:pBdr/>
      <w:spacing/>
      <w:ind/>
    </w:pPr>
    <w:tblPr>
      <w:tblStyleRowBandSize w:val="1"/>
      <w:tblStyleColBandSize w:val="1"/>
      <w:tblBorders>
        <w:right w:val="single" w:color="8ed873" w:themeColor="accent6" w:themeTint="98" w:sz="4" w:space="0"/>
      </w:tblBorders>
    </w:tblPr>
    <w:tcPr>
      <w:tcBorders/>
    </w:tcPr>
    <w:tblStylePr w:type="band1Horz">
      <w:rPr>
        <w:rFonts w:ascii="Arial" w:hAnsi="Arial"/>
        <w:color w:val="8ed873" w:themeColor="accent6" w:themeTint="98" w:themeShade="95"/>
        <w:sz w:val="22"/>
      </w:rPr>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rPr>
        <w:rFonts w:ascii="Arial" w:hAnsi="Arial"/>
        <w:color w:val="8ed873"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ed873"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8ed873" w:themeColor="accent6" w:themeTint="98" w:sz="4" w:space="0"/>
        </w:tcBorders>
      </w:tcPr>
    </w:tblStylePr>
    <w:tblStylePr w:type="firstRow">
      <w:rPr>
        <w:rFonts w:ascii="Arial" w:hAnsi="Arial"/>
        <w:i/>
        <w:color w:val="8ed873"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8ed873" w:themeColor="accent6" w:themeTint="98" w:sz="4" w:space="0"/>
          <w:right w:val="none" w:color="000000" w:sz="4" w:space="0"/>
        </w:tcBorders>
      </w:tcPr>
    </w:tblStylePr>
    <w:tblStylePr w:type="lastCol">
      <w:rPr>
        <w:rFonts w:ascii="Arial" w:hAnsi="Arial"/>
        <w:i/>
        <w:color w:val="8ed873" w:themeColor="accent6" w:themeTint="98" w:themeShade="95"/>
        <w:sz w:val="22"/>
      </w:rPr>
      <w:pPr>
        <w:pBdr/>
        <w:spacing/>
        <w:ind/>
      </w:pPr>
      <w:tblPr>
        <w:tblBorders/>
      </w:tblPr>
      <w:tcPr>
        <w:shd w:val="clear" w:color="ffffff" w:fill="auto"/>
        <w:tcBorders>
          <w:top w:val="none" w:color="000000" w:sz="4" w:space="0"/>
          <w:left w:val="single" w:color="8ed873" w:themeColor="accent6" w:themeTint="98" w:sz="4" w:space="0"/>
          <w:bottom w:val="none" w:color="000000" w:sz="4" w:space="0"/>
          <w:right w:val="none" w:color="000000" w:sz="4" w:space="0"/>
        </w:tcBorders>
      </w:tcPr>
    </w:tblStylePr>
    <w:tblStylePr w:type="lastRow">
      <w:rPr>
        <w:rFonts w:ascii="Arial" w:hAnsi="Arial"/>
        <w:i/>
        <w:color w:val="8ed873" w:themeColor="accent6" w:themeTint="98" w:themeShade="95"/>
        <w:sz w:val="22"/>
      </w:rPr>
      <w:pPr>
        <w:pBdr/>
        <w:spacing/>
        <w:ind/>
      </w:pPr>
      <w:tblPr>
        <w:tblBorders/>
      </w:tblPr>
      <w:tcPr>
        <w:shd w:val="clear" w:color="ffffff" w:themeColor="light1" w:fill="ffffff" w:themeFill="light1"/>
        <w:tcBorders>
          <w:top w:val="single" w:color="8ed873"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6" w:customStyle="1">
    <w:name w:val="Lined - Accent"/>
    <w:basedOn w:val="1509"/>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7" w:customStyle="1">
    <w:name w:val="Lined - Accent 1"/>
    <w:basedOn w:val="1509"/>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band2Vert">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fir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fir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8" w:customStyle="1">
    <w:name w:val="Lined - Accent 2"/>
    <w:basedOn w:val="1509"/>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fir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fir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9" w:customStyle="1">
    <w:name w:val="Lined - Accent 3"/>
    <w:basedOn w:val="1509"/>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fir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0" w:customStyle="1">
    <w:name w:val="Lined - Accent 4"/>
    <w:basedOn w:val="1509"/>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fir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1" w:customStyle="1">
    <w:name w:val="Lined - Accent 5"/>
    <w:basedOn w:val="1509"/>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firstCol">
      <w:rPr>
        <w:rFonts w:ascii="Arial" w:hAnsi="Arial"/>
        <w:color w:val="f2f2f2"/>
        <w:sz w:val="22"/>
      </w:rPr>
      <w:pPr>
        <w:pBdr/>
        <w:spacing/>
        <w:ind/>
      </w:pPr>
      <w:tblPr>
        <w:tblBorders/>
      </w:tblPr>
      <w:tcPr>
        <w:shd w:val="clear" w:color="a02b93" w:themeColor="accent5" w:fill="a02b93" w:themeFill="accent5"/>
        <w:tcBorders/>
      </w:tcPr>
    </w:tblStylePr>
    <w:tblStylePr w:type="firstRow">
      <w:rPr>
        <w:rFonts w:ascii="Arial" w:hAnsi="Arial"/>
        <w:color w:val="f2f2f2"/>
        <w:sz w:val="22"/>
      </w:rPr>
      <w:pPr>
        <w:pBdr/>
        <w:spacing/>
        <w:ind/>
      </w:pPr>
      <w:tblPr>
        <w:tblBorders/>
      </w:tblPr>
      <w:tcPr>
        <w:shd w:val="clear" w:color="a02b93" w:themeColor="accent5" w:fill="a02b93" w:themeFill="accent5"/>
        <w:tcBorders/>
      </w:tcPr>
    </w:tblStylePr>
    <w:tblStylePr w:type="lastCol">
      <w:rPr>
        <w:rFonts w:ascii="Arial" w:hAnsi="Arial"/>
        <w:color w:val="f2f2f2"/>
        <w:sz w:val="22"/>
      </w:rPr>
      <w:pPr>
        <w:pBdr/>
        <w:spacing/>
        <w:ind/>
      </w:pPr>
      <w:tblPr>
        <w:tblBorders/>
      </w:tblPr>
      <w:tcPr>
        <w:shd w:val="clear" w:color="a02b93" w:themeColor="accent5" w:fill="a02b93" w:themeFill="accent5"/>
        <w:tcBorders/>
      </w:tcPr>
    </w:tblStylePr>
    <w:tblStylePr w:type="lastRow">
      <w:rPr>
        <w:rFonts w:ascii="Arial" w:hAnsi="Arial"/>
        <w:color w:val="f2f2f2"/>
        <w:sz w:val="22"/>
      </w:rPr>
      <w:pPr>
        <w:pBdr/>
        <w:spacing/>
        <w:ind/>
      </w:pPr>
      <w:tblPr>
        <w:tblBorders/>
      </w:tblPr>
      <w:tcPr>
        <w:shd w:val="clear" w:color="a02b93"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2" w:customStyle="1">
    <w:name w:val="Lined - Accent 6"/>
    <w:basedOn w:val="1509"/>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firstCol">
      <w:rPr>
        <w:rFonts w:ascii="Arial" w:hAnsi="Arial"/>
        <w:color w:val="f2f2f2"/>
        <w:sz w:val="22"/>
      </w:rPr>
      <w:pPr>
        <w:pBdr/>
        <w:spacing/>
        <w:ind/>
      </w:pPr>
      <w:tblPr>
        <w:tblBorders/>
      </w:tblPr>
      <w:tcPr>
        <w:shd w:val="clear" w:color="4ea72e" w:themeColor="accent6" w:fill="4ea72e" w:themeFill="accent6"/>
        <w:tcBorders/>
      </w:tcPr>
    </w:tblStylePr>
    <w:tblStylePr w:type="firstRow">
      <w:rPr>
        <w:rFonts w:ascii="Arial" w:hAnsi="Arial"/>
        <w:color w:val="f2f2f2"/>
        <w:sz w:val="22"/>
      </w:rPr>
      <w:pPr>
        <w:pBdr/>
        <w:spacing/>
        <w:ind/>
      </w:pPr>
      <w:tblPr>
        <w:tblBorders/>
      </w:tblPr>
      <w:tcPr>
        <w:shd w:val="clear" w:color="4ea72e" w:themeColor="accent6" w:fill="4ea72e" w:themeFill="accent6"/>
        <w:tcBorders/>
      </w:tcPr>
    </w:tblStylePr>
    <w:tblStylePr w:type="lastCol">
      <w:rPr>
        <w:rFonts w:ascii="Arial" w:hAnsi="Arial"/>
        <w:color w:val="f2f2f2"/>
        <w:sz w:val="22"/>
      </w:rPr>
      <w:pPr>
        <w:pBdr/>
        <w:spacing/>
        <w:ind/>
      </w:pPr>
      <w:tblPr>
        <w:tblBorders/>
      </w:tblPr>
      <w:tcPr>
        <w:shd w:val="clear" w:color="4ea72e" w:themeColor="accent6" w:fill="4ea72e" w:themeFill="accent6"/>
        <w:tcBorders/>
      </w:tcPr>
    </w:tblStylePr>
    <w:tblStylePr w:type="lastRow">
      <w:rPr>
        <w:rFonts w:ascii="Arial" w:hAnsi="Arial"/>
        <w:color w:val="f2f2f2"/>
        <w:sz w:val="22"/>
      </w:rPr>
      <w:pPr>
        <w:pBdr/>
        <w:spacing/>
        <w:ind/>
      </w:pPr>
      <w:tblPr>
        <w:tblBorders/>
      </w:tblPr>
      <w:tcPr>
        <w:shd w:val="clear" w:color="4ea72e"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3" w:customStyle="1">
    <w:name w:val="Bordered &amp; Lined - Accent"/>
    <w:basedOn w:val="1509"/>
    <w:uiPriority w:val="99"/>
    <w:pPr>
      <w:pBdr/>
      <w:spacing/>
      <w:ind/>
    </w:pPr>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4" w:customStyle="1">
    <w:name w:val="Bordered &amp; Lined - Accent 1"/>
    <w:basedOn w:val="1509"/>
    <w:uiPriority w:val="99"/>
    <w:pPr>
      <w:pBdr/>
      <w:spacing/>
      <w:ind/>
    </w:pPr>
    <w:rPr>
      <w:color w:val="404040"/>
    </w:rPr>
    <w:tblPr>
      <w:tblStyleRowBandSize w:val="1"/>
      <w:tblStyleColBandSize w:val="1"/>
      <w:tblBorders>
        <w:top w:val="single" w:color="0c374b" w:themeColor="accent1" w:themeShade="95" w:sz="4" w:space="0"/>
        <w:left w:val="single" w:color="0c374b" w:themeColor="accent1" w:themeShade="95" w:sz="4" w:space="0"/>
        <w:bottom w:val="single" w:color="0c374b" w:themeColor="accent1" w:themeShade="95" w:sz="4" w:space="0"/>
        <w:right w:val="single" w:color="0c374b" w:themeColor="accent1" w:themeShade="95" w:sz="4" w:space="0"/>
        <w:insideH w:val="single" w:color="0c374b" w:themeColor="accent1" w:themeShade="95" w:sz="4" w:space="0"/>
        <w:insideV w:val="single" w:color="0c374b"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band2Vert">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fir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fir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5" w:customStyle="1">
    <w:name w:val="Bordered &amp; Lined - Accent 2"/>
    <w:basedOn w:val="1509"/>
    <w:uiPriority w:val="99"/>
    <w:pPr>
      <w:pBdr/>
      <w:spacing/>
      <w:ind/>
    </w:pPr>
    <w:rPr>
      <w:color w:val="404040"/>
    </w:rPr>
    <w:tblPr>
      <w:tblStyleRowBandSize w:val="1"/>
      <w:tblStyleColBandSize w:val="1"/>
      <w:tblBorders>
        <w:top w:val="single" w:color="953d10" w:themeColor="accent2" w:themeShade="95" w:sz="4" w:space="0"/>
        <w:left w:val="single" w:color="953d10" w:themeColor="accent2" w:themeShade="95" w:sz="4" w:space="0"/>
        <w:bottom w:val="single" w:color="953d10" w:themeColor="accent2" w:themeShade="95" w:sz="4" w:space="0"/>
        <w:right w:val="single" w:color="953d10" w:themeColor="accent2" w:themeShade="95" w:sz="4" w:space="0"/>
        <w:insideH w:val="single" w:color="953d10" w:themeColor="accent2" w:themeShade="95" w:sz="4" w:space="0"/>
        <w:insideV w:val="single" w:color="953d1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fir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fir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6" w:customStyle="1">
    <w:name w:val="Bordered &amp; Lined - Accent 3"/>
    <w:basedOn w:val="1509"/>
    <w:uiPriority w:val="99"/>
    <w:pPr>
      <w:pBdr/>
      <w:spacing/>
      <w:ind/>
    </w:pPr>
    <w:rPr>
      <w:color w:val="404040"/>
    </w:rPr>
    <w:tblPr>
      <w:tblStyleRowBandSize w:val="1"/>
      <w:tblStyleColBandSize w:val="1"/>
      <w:tblBorders>
        <w:top w:val="single" w:color="0e3e15" w:themeColor="accent3" w:themeShade="95" w:sz="4" w:space="0"/>
        <w:left w:val="single" w:color="0e3e15" w:themeColor="accent3" w:themeShade="95" w:sz="4" w:space="0"/>
        <w:bottom w:val="single" w:color="0e3e15" w:themeColor="accent3" w:themeShade="95" w:sz="4" w:space="0"/>
        <w:right w:val="single" w:color="0e3e15" w:themeColor="accent3" w:themeShade="95" w:sz="4" w:space="0"/>
        <w:insideH w:val="single" w:color="0e3e15" w:themeColor="accent3" w:themeShade="95" w:sz="4" w:space="0"/>
        <w:insideV w:val="single" w:color="0e3e15"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fir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7" w:customStyle="1">
    <w:name w:val="Bordered &amp; Lined - Accent 4"/>
    <w:basedOn w:val="1509"/>
    <w:uiPriority w:val="99"/>
    <w:pPr>
      <w:pBdr/>
      <w:spacing/>
      <w:ind/>
    </w:pPr>
    <w:rPr>
      <w:color w:val="404040"/>
    </w:rPr>
    <w:tblPr>
      <w:tblStyleRowBandSize w:val="1"/>
      <w:tblStyleColBandSize w:val="1"/>
      <w:tblBorders>
        <w:top w:val="single" w:color="085c7c" w:themeColor="accent4" w:themeShade="95" w:sz="4" w:space="0"/>
        <w:left w:val="single" w:color="085c7c" w:themeColor="accent4" w:themeShade="95" w:sz="4" w:space="0"/>
        <w:bottom w:val="single" w:color="085c7c" w:themeColor="accent4" w:themeShade="95" w:sz="4" w:space="0"/>
        <w:right w:val="single" w:color="085c7c" w:themeColor="accent4" w:themeShade="95" w:sz="4" w:space="0"/>
        <w:insideH w:val="single" w:color="085c7c" w:themeColor="accent4" w:themeShade="95" w:sz="4" w:space="0"/>
        <w:insideV w:val="single" w:color="085c7c"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fir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8" w:customStyle="1">
    <w:name w:val="Bordered &amp; Lined - Accent 5"/>
    <w:basedOn w:val="1509"/>
    <w:uiPriority w:val="99"/>
    <w:pPr>
      <w:pBdr/>
      <w:spacing/>
      <w:ind/>
    </w:pPr>
    <w:rPr>
      <w:color w:val="404040"/>
    </w:rPr>
    <w:tblPr>
      <w:tblStyleRowBandSize w:val="1"/>
      <w:tblStyleColBandSize w:val="1"/>
      <w:tblBorders>
        <w:top w:val="single" w:color="5d1955" w:themeColor="accent5" w:themeShade="95" w:sz="4" w:space="0"/>
        <w:left w:val="single" w:color="5d1955" w:themeColor="accent5" w:themeShade="95" w:sz="4" w:space="0"/>
        <w:bottom w:val="single" w:color="5d1955" w:themeColor="accent5" w:themeShade="95" w:sz="4" w:space="0"/>
        <w:right w:val="single" w:color="5d1955" w:themeColor="accent5" w:themeShade="95" w:sz="4" w:space="0"/>
        <w:insideH w:val="single" w:color="5d1955" w:themeColor="accent5" w:themeShade="95" w:sz="4" w:space="0"/>
        <w:insideV w:val="single" w:color="5d1955"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firstCol">
      <w:rPr>
        <w:rFonts w:ascii="Arial" w:hAnsi="Arial"/>
        <w:color w:val="f2f2f2"/>
        <w:sz w:val="22"/>
      </w:rPr>
      <w:pPr>
        <w:pBdr/>
        <w:spacing/>
        <w:ind/>
      </w:pPr>
      <w:tblPr>
        <w:tblBorders/>
      </w:tblPr>
      <w:tcPr>
        <w:shd w:val="clear" w:color="a02b93" w:themeColor="accent5" w:fill="a02b93" w:themeFill="accent5"/>
        <w:tcBorders/>
      </w:tcPr>
    </w:tblStylePr>
    <w:tblStylePr w:type="firstRow">
      <w:rPr>
        <w:rFonts w:ascii="Arial" w:hAnsi="Arial"/>
        <w:color w:val="f2f2f2"/>
        <w:sz w:val="22"/>
      </w:rPr>
      <w:pPr>
        <w:pBdr/>
        <w:spacing/>
        <w:ind/>
      </w:pPr>
      <w:tblPr>
        <w:tblBorders/>
      </w:tblPr>
      <w:tcPr>
        <w:shd w:val="clear" w:color="a02b93" w:themeColor="accent5" w:fill="a02b93" w:themeFill="accent5"/>
        <w:tcBorders/>
      </w:tcPr>
    </w:tblStylePr>
    <w:tblStylePr w:type="lastCol">
      <w:rPr>
        <w:rFonts w:ascii="Arial" w:hAnsi="Arial"/>
        <w:color w:val="f2f2f2"/>
        <w:sz w:val="22"/>
      </w:rPr>
      <w:pPr>
        <w:pBdr/>
        <w:spacing/>
        <w:ind/>
      </w:pPr>
      <w:tblPr>
        <w:tblBorders/>
      </w:tblPr>
      <w:tcPr>
        <w:shd w:val="clear" w:color="a02b93" w:themeColor="accent5" w:fill="a02b93" w:themeFill="accent5"/>
        <w:tcBorders/>
      </w:tcPr>
    </w:tblStylePr>
    <w:tblStylePr w:type="lastRow">
      <w:rPr>
        <w:rFonts w:ascii="Arial" w:hAnsi="Arial"/>
        <w:color w:val="f2f2f2"/>
        <w:sz w:val="22"/>
      </w:rPr>
      <w:pPr>
        <w:pBdr/>
        <w:spacing/>
        <w:ind/>
      </w:pPr>
      <w:tblPr>
        <w:tblBorders/>
      </w:tblPr>
      <w:tcPr>
        <w:shd w:val="clear" w:color="a02b93"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9" w:customStyle="1">
    <w:name w:val="Bordered &amp; Lined - Accent 6"/>
    <w:basedOn w:val="1509"/>
    <w:uiPriority w:val="99"/>
    <w:pPr>
      <w:pBdr/>
      <w:spacing/>
      <w:ind/>
    </w:pPr>
    <w:rPr>
      <w:color w:val="404040"/>
    </w:rPr>
    <w:tblPr>
      <w:tblStyleRowBandSize w:val="1"/>
      <w:tblStyleColBandSize w:val="1"/>
      <w:tblBorders>
        <w:top w:val="single" w:color="2d611b" w:themeColor="accent6" w:themeShade="95" w:sz="4" w:space="0"/>
        <w:left w:val="single" w:color="2d611b" w:themeColor="accent6" w:themeShade="95" w:sz="4" w:space="0"/>
        <w:bottom w:val="single" w:color="2d611b" w:themeColor="accent6" w:themeShade="95" w:sz="4" w:space="0"/>
        <w:right w:val="single" w:color="2d611b" w:themeColor="accent6" w:themeShade="95" w:sz="4" w:space="0"/>
        <w:insideH w:val="single" w:color="2d611b" w:themeColor="accent6" w:themeShade="95" w:sz="4" w:space="0"/>
        <w:insideV w:val="single" w:color="2d611b"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firstCol">
      <w:rPr>
        <w:rFonts w:ascii="Arial" w:hAnsi="Arial"/>
        <w:color w:val="f2f2f2"/>
        <w:sz w:val="22"/>
      </w:rPr>
      <w:pPr>
        <w:pBdr/>
        <w:spacing/>
        <w:ind/>
      </w:pPr>
      <w:tblPr>
        <w:tblBorders/>
      </w:tblPr>
      <w:tcPr>
        <w:shd w:val="clear" w:color="4ea72e" w:themeColor="accent6" w:fill="4ea72e" w:themeFill="accent6"/>
        <w:tcBorders/>
      </w:tcPr>
    </w:tblStylePr>
    <w:tblStylePr w:type="firstRow">
      <w:rPr>
        <w:rFonts w:ascii="Arial" w:hAnsi="Arial"/>
        <w:color w:val="f2f2f2"/>
        <w:sz w:val="22"/>
      </w:rPr>
      <w:pPr>
        <w:pBdr/>
        <w:spacing/>
        <w:ind/>
      </w:pPr>
      <w:tblPr>
        <w:tblBorders/>
      </w:tblPr>
      <w:tcPr>
        <w:shd w:val="clear" w:color="4ea72e" w:themeColor="accent6" w:fill="4ea72e" w:themeFill="accent6"/>
        <w:tcBorders/>
      </w:tcPr>
    </w:tblStylePr>
    <w:tblStylePr w:type="lastCol">
      <w:rPr>
        <w:rFonts w:ascii="Arial" w:hAnsi="Arial"/>
        <w:color w:val="f2f2f2"/>
        <w:sz w:val="22"/>
      </w:rPr>
      <w:pPr>
        <w:pBdr/>
        <w:spacing/>
        <w:ind/>
      </w:pPr>
      <w:tblPr>
        <w:tblBorders/>
      </w:tblPr>
      <w:tcPr>
        <w:shd w:val="clear" w:color="4ea72e" w:themeColor="accent6" w:fill="4ea72e" w:themeFill="accent6"/>
        <w:tcBorders/>
      </w:tcPr>
    </w:tblStylePr>
    <w:tblStylePr w:type="lastRow">
      <w:rPr>
        <w:rFonts w:ascii="Arial" w:hAnsi="Arial"/>
        <w:color w:val="f2f2f2"/>
        <w:sz w:val="22"/>
      </w:rPr>
      <w:pPr>
        <w:pBdr/>
        <w:spacing/>
        <w:ind/>
      </w:pPr>
      <w:tblPr>
        <w:tblBorders/>
      </w:tblPr>
      <w:tcPr>
        <w:shd w:val="clear" w:color="4ea72e"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0" w:customStyle="1">
    <w:name w:val="Bordered"/>
    <w:basedOn w:val="1509"/>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1" w:customStyle="1">
    <w:name w:val="Bordered - Accent 1"/>
    <w:basedOn w:val="1509"/>
    <w:uiPriority w:val="99"/>
    <w:pPr>
      <w:pBdr/>
      <w:spacing/>
      <w:ind/>
    </w:pPr>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156082" w:themeColor="accent1" w:sz="12" w:space="0"/>
        </w:tcBorders>
      </w:tcPr>
    </w:tblStylePr>
    <w:tblStylePr w:type="lastCol">
      <w:rPr>
        <w:rFonts w:ascii="Arial" w:hAnsi="Arial"/>
        <w:color w:val="404040"/>
        <w:sz w:val="22"/>
      </w:rPr>
      <w:pPr>
        <w:pBdr/>
        <w:spacing/>
        <w:ind/>
      </w:pPr>
      <w:tblPr>
        <w:tblBorders/>
      </w:tblPr>
      <w:tcPr>
        <w:tcBorders>
          <w:left w:val="single" w:color="156082" w:themeColor="accent1" w:sz="12" w:space="0"/>
        </w:tcBorders>
      </w:tcPr>
    </w:tblStylePr>
    <w:tblStylePr w:type="lastRow">
      <w:rPr>
        <w:rFonts w:ascii="Arial" w:hAnsi="Arial"/>
        <w:color w:val="404040"/>
        <w:sz w:val="22"/>
      </w:rPr>
      <w:pPr>
        <w:pBdr/>
        <w:spacing/>
        <w:ind/>
      </w:pPr>
      <w:tblPr>
        <w:tblBorders/>
      </w:tblPr>
      <w:tcPr>
        <w:tcBorders>
          <w:top w:val="single" w:color="156082"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2" w:customStyle="1">
    <w:name w:val="Bordered - Accent 2"/>
    <w:basedOn w:val="1509"/>
    <w:uiPriority w:val="99"/>
    <w:pPr>
      <w:pBdr/>
      <w:spacing/>
      <w:ind/>
    </w:pPr>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2aa85" w:themeColor="accent2" w:themeTint="97" w:sz="12" w:space="0"/>
        </w:tcBorders>
      </w:tcPr>
    </w:tblStylePr>
    <w:tblStylePr w:type="lastCol">
      <w:rPr>
        <w:rFonts w:ascii="Arial" w:hAnsi="Arial"/>
        <w:color w:val="404040"/>
        <w:sz w:val="22"/>
      </w:rPr>
      <w:pPr>
        <w:pBdr/>
        <w:spacing/>
        <w:ind/>
      </w:pPr>
      <w:tblPr>
        <w:tblBorders/>
      </w:tblPr>
      <w:tcPr>
        <w:tcBorders>
          <w:left w:val="single" w:color="f2aa85" w:themeColor="accent2" w:themeTint="97" w:sz="12" w:space="0"/>
        </w:tcBorders>
      </w:tcPr>
    </w:tblStylePr>
    <w:tblStylePr w:type="lastRow">
      <w:rPr>
        <w:rFonts w:ascii="Arial" w:hAnsi="Arial"/>
        <w:color w:val="404040"/>
        <w:sz w:val="22"/>
      </w:rPr>
      <w:pPr>
        <w:pBdr/>
        <w:spacing/>
        <w:ind/>
      </w:pPr>
      <w:tblPr>
        <w:tblBorders/>
      </w:tblPr>
      <w:tcPr>
        <w:tcBorders>
          <w:top w:val="single" w:color="f2aa8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3" w:customStyle="1">
    <w:name w:val="Bordered - Accent 3"/>
    <w:basedOn w:val="1509"/>
    <w:uiPriority w:val="99"/>
    <w:pPr>
      <w:pBdr/>
      <w:spacing/>
      <w:ind/>
    </w:pPr>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8d45b" w:themeColor="accent3" w:themeTint="98" w:sz="12" w:space="0"/>
        </w:tcBorders>
      </w:tcPr>
    </w:tblStylePr>
    <w:tblStylePr w:type="lastCol">
      <w:rPr>
        <w:rFonts w:ascii="Arial" w:hAnsi="Arial"/>
        <w:color w:val="404040"/>
        <w:sz w:val="22"/>
      </w:rPr>
      <w:pPr>
        <w:pBdr/>
        <w:spacing/>
        <w:ind/>
      </w:pPr>
      <w:tblPr>
        <w:tblBorders/>
      </w:tblPr>
      <w:tcPr>
        <w:tcBorders>
          <w:left w:val="single" w:color="48d45b" w:themeColor="accent3" w:themeTint="98" w:sz="12" w:space="0"/>
        </w:tcBorders>
      </w:tcPr>
    </w:tblStylePr>
    <w:tblStylePr w:type="lastRow">
      <w:rPr>
        <w:rFonts w:ascii="Arial" w:hAnsi="Arial"/>
        <w:color w:val="404040"/>
        <w:sz w:val="22"/>
      </w:rPr>
      <w:pPr>
        <w:pBdr/>
        <w:spacing/>
        <w:ind/>
      </w:pPr>
      <w:tblPr>
        <w:tblBorders/>
      </w:tblPr>
      <w:tcPr>
        <w:tcBorders>
          <w:top w:val="single" w:color="48d45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4" w:customStyle="1">
    <w:name w:val="Bordered - Accent 4"/>
    <w:basedOn w:val="1509"/>
    <w:uiPriority w:val="99"/>
    <w:pPr>
      <w:pBdr/>
      <w:spacing/>
      <w:ind/>
    </w:pPr>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5fcaf3" w:themeColor="accent4" w:themeTint="9A" w:sz="12" w:space="0"/>
        </w:tcBorders>
      </w:tcPr>
    </w:tblStylePr>
    <w:tblStylePr w:type="lastCol">
      <w:rPr>
        <w:rFonts w:ascii="Arial" w:hAnsi="Arial"/>
        <w:color w:val="404040"/>
        <w:sz w:val="22"/>
      </w:rPr>
      <w:pPr>
        <w:pBdr/>
        <w:spacing/>
        <w:ind/>
      </w:pPr>
      <w:tblPr>
        <w:tblBorders/>
      </w:tblPr>
      <w:tcPr>
        <w:tcBorders>
          <w:left w:val="single" w:color="5fcaf3" w:themeColor="accent4" w:themeTint="9A" w:sz="12" w:space="0"/>
        </w:tcBorders>
      </w:tcPr>
    </w:tblStylePr>
    <w:tblStylePr w:type="lastRow">
      <w:rPr>
        <w:rFonts w:ascii="Arial" w:hAnsi="Arial"/>
        <w:color w:val="404040"/>
        <w:sz w:val="22"/>
      </w:rPr>
      <w:pPr>
        <w:pBdr/>
        <w:spacing/>
        <w:ind/>
      </w:pPr>
      <w:tblPr>
        <w:tblBorders/>
      </w:tblPr>
      <w:tcPr>
        <w:tcBorders>
          <w:top w:val="single" w:color="5fcaf3"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5" w:customStyle="1">
    <w:name w:val="Bordered - Accent 5"/>
    <w:basedOn w:val="1509"/>
    <w:uiPriority w:val="99"/>
    <w:pPr>
      <w:pBdr/>
      <w:spacing/>
      <w:ind/>
    </w:pPr>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76ccb" w:themeColor="accent5" w:themeTint="9A" w:sz="12" w:space="0"/>
        </w:tcBorders>
      </w:tcPr>
    </w:tblStylePr>
    <w:tblStylePr w:type="lastCol">
      <w:rPr>
        <w:rFonts w:ascii="Arial" w:hAnsi="Arial"/>
        <w:color w:val="404040"/>
        <w:sz w:val="22"/>
      </w:rPr>
      <w:pPr>
        <w:pBdr/>
        <w:spacing/>
        <w:ind/>
      </w:pPr>
      <w:tblPr>
        <w:tblBorders/>
      </w:tblPr>
      <w:tcPr>
        <w:tcBorders>
          <w:left w:val="single" w:color="d76ccb" w:themeColor="accent5" w:themeTint="9A" w:sz="12" w:space="0"/>
        </w:tcBorders>
      </w:tcPr>
    </w:tblStylePr>
    <w:tblStylePr w:type="lastRow">
      <w:rPr>
        <w:rFonts w:ascii="Arial" w:hAnsi="Arial"/>
        <w:color w:val="404040"/>
        <w:sz w:val="22"/>
      </w:rPr>
      <w:pPr>
        <w:pBdr/>
        <w:spacing/>
        <w:ind/>
      </w:pPr>
      <w:tblPr>
        <w:tblBorders/>
      </w:tblPr>
      <w:tcPr>
        <w:tcBorders>
          <w:top w:val="single" w:color="d76ccb"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customStyle="1">
    <w:name w:val="Bordered - Accent 6"/>
    <w:basedOn w:val="1509"/>
    <w:uiPriority w:val="99"/>
    <w:pPr>
      <w:pBdr/>
      <w:spacing/>
      <w:ind/>
    </w:pPr>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ed873" w:themeColor="accent6" w:themeTint="98" w:sz="12" w:space="0"/>
        </w:tcBorders>
      </w:tcPr>
    </w:tblStylePr>
    <w:tblStylePr w:type="lastCol">
      <w:rPr>
        <w:rFonts w:ascii="Arial" w:hAnsi="Arial"/>
        <w:color w:val="404040"/>
        <w:sz w:val="22"/>
      </w:rPr>
      <w:pPr>
        <w:pBdr/>
        <w:spacing/>
        <w:ind/>
      </w:pPr>
      <w:tblPr>
        <w:tblBorders/>
      </w:tblPr>
      <w:tcPr>
        <w:tcBorders>
          <w:left w:val="single" w:color="8ed873" w:themeColor="accent6" w:themeTint="98" w:sz="12" w:space="0"/>
        </w:tcBorders>
      </w:tcPr>
    </w:tblStylePr>
    <w:tblStylePr w:type="lastRow">
      <w:rPr>
        <w:rFonts w:ascii="Arial" w:hAnsi="Arial"/>
        <w:color w:val="404040"/>
        <w:sz w:val="22"/>
      </w:rPr>
      <w:pPr>
        <w:pBdr/>
        <w:spacing/>
        <w:ind/>
      </w:pPr>
      <w:tblPr>
        <w:tblBorders/>
      </w:tblPr>
      <w:tcPr>
        <w:tcBorders>
          <w:top w:val="single" w:color="8ed873"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637" w:customStyle="1">
    <w:name w:val="Überschrift 1 Zchn"/>
    <w:basedOn w:val="1508"/>
    <w:link w:val="1499"/>
    <w:uiPriority w:val="9"/>
    <w:pPr>
      <w:pBdr/>
      <w:spacing/>
      <w:ind/>
    </w:pPr>
    <w:rPr>
      <w:rFonts w:ascii="Arial" w:hAnsi="Arial" w:eastAsia="Arial" w:cs="Arial"/>
      <w:color w:val="0f4761" w:themeColor="accent1" w:themeShade="BF"/>
      <w:sz w:val="40"/>
      <w:szCs w:val="40"/>
    </w:rPr>
  </w:style>
  <w:style w:type="character" w:styleId="1638" w:customStyle="1">
    <w:name w:val="Überschrift 2 Zchn"/>
    <w:basedOn w:val="1508"/>
    <w:link w:val="1500"/>
    <w:uiPriority w:val="9"/>
    <w:pPr>
      <w:pBdr/>
      <w:spacing/>
      <w:ind/>
    </w:pPr>
    <w:rPr>
      <w:rFonts w:ascii="Arial" w:hAnsi="Arial" w:eastAsia="Arial" w:cs="Arial"/>
      <w:color w:val="0f4761" w:themeColor="accent1" w:themeShade="BF"/>
      <w:sz w:val="32"/>
      <w:szCs w:val="32"/>
    </w:rPr>
  </w:style>
  <w:style w:type="character" w:styleId="1639" w:customStyle="1">
    <w:name w:val="Überschrift 3 Zchn"/>
    <w:basedOn w:val="1508"/>
    <w:link w:val="1501"/>
    <w:uiPriority w:val="9"/>
    <w:pPr>
      <w:pBdr/>
      <w:spacing/>
      <w:ind/>
    </w:pPr>
    <w:rPr>
      <w:rFonts w:ascii="Arial" w:hAnsi="Arial" w:eastAsia="Arial" w:cs="Arial"/>
      <w:color w:val="0f4761" w:themeColor="accent1" w:themeShade="BF"/>
      <w:sz w:val="28"/>
      <w:szCs w:val="28"/>
    </w:rPr>
  </w:style>
  <w:style w:type="character" w:styleId="1640" w:customStyle="1">
    <w:name w:val="Überschrift 4 Zchn"/>
    <w:basedOn w:val="1508"/>
    <w:link w:val="1502"/>
    <w:uiPriority w:val="9"/>
    <w:pPr>
      <w:pBdr/>
      <w:spacing/>
      <w:ind/>
    </w:pPr>
    <w:rPr>
      <w:rFonts w:ascii="Arial" w:hAnsi="Arial" w:eastAsia="Arial" w:cs="Arial"/>
      <w:i/>
      <w:iCs/>
      <w:color w:val="0f4761" w:themeColor="accent1" w:themeShade="BF"/>
    </w:rPr>
  </w:style>
  <w:style w:type="character" w:styleId="1641" w:customStyle="1">
    <w:name w:val="Überschrift 5 Zchn"/>
    <w:basedOn w:val="1508"/>
    <w:link w:val="1503"/>
    <w:uiPriority w:val="9"/>
    <w:pPr>
      <w:pBdr/>
      <w:spacing/>
      <w:ind/>
    </w:pPr>
    <w:rPr>
      <w:rFonts w:ascii="Arial" w:hAnsi="Arial" w:eastAsia="Arial" w:cs="Arial"/>
      <w:color w:val="0f4761" w:themeColor="accent1" w:themeShade="BF"/>
    </w:rPr>
  </w:style>
  <w:style w:type="character" w:styleId="1642" w:customStyle="1">
    <w:name w:val="Überschrift 6 Zchn"/>
    <w:basedOn w:val="1508"/>
    <w:link w:val="1504"/>
    <w:uiPriority w:val="9"/>
    <w:pPr>
      <w:pBdr/>
      <w:spacing/>
      <w:ind/>
    </w:pPr>
    <w:rPr>
      <w:rFonts w:ascii="Arial" w:hAnsi="Arial" w:eastAsia="Arial" w:cs="Arial"/>
      <w:i/>
      <w:iCs/>
      <w:color w:val="595959" w:themeColor="text1" w:themeTint="A6"/>
    </w:rPr>
  </w:style>
  <w:style w:type="character" w:styleId="1643" w:customStyle="1">
    <w:name w:val="Überschrift 7 Zchn"/>
    <w:basedOn w:val="1508"/>
    <w:link w:val="1505"/>
    <w:uiPriority w:val="9"/>
    <w:pPr>
      <w:pBdr/>
      <w:spacing/>
      <w:ind/>
    </w:pPr>
    <w:rPr>
      <w:rFonts w:ascii="Arial" w:hAnsi="Arial" w:eastAsia="Arial" w:cs="Arial"/>
      <w:color w:val="595959" w:themeColor="text1" w:themeTint="A6"/>
    </w:rPr>
  </w:style>
  <w:style w:type="character" w:styleId="1644" w:customStyle="1">
    <w:name w:val="Überschrift 8 Zchn"/>
    <w:basedOn w:val="1508"/>
    <w:link w:val="1506"/>
    <w:uiPriority w:val="9"/>
    <w:pPr>
      <w:pBdr/>
      <w:spacing/>
      <w:ind/>
    </w:pPr>
    <w:rPr>
      <w:rFonts w:ascii="Arial" w:hAnsi="Arial" w:eastAsia="Arial" w:cs="Arial"/>
      <w:i/>
      <w:iCs/>
      <w:color w:val="272727" w:themeColor="text1" w:themeTint="D8"/>
    </w:rPr>
  </w:style>
  <w:style w:type="character" w:styleId="1645" w:customStyle="1">
    <w:name w:val="Überschrift 9 Zchn"/>
    <w:basedOn w:val="1508"/>
    <w:link w:val="1507"/>
    <w:uiPriority w:val="9"/>
    <w:pPr>
      <w:pBdr/>
      <w:spacing/>
      <w:ind/>
    </w:pPr>
    <w:rPr>
      <w:rFonts w:ascii="Arial" w:hAnsi="Arial" w:eastAsia="Arial" w:cs="Arial"/>
      <w:i/>
      <w:iCs/>
      <w:color w:val="272727" w:themeColor="text1" w:themeTint="D8"/>
    </w:rPr>
  </w:style>
  <w:style w:type="paragraph" w:styleId="1646">
    <w:name w:val="Title"/>
    <w:basedOn w:val="1498"/>
    <w:next w:val="1498"/>
    <w:link w:val="1647"/>
    <w:uiPriority w:val="10"/>
    <w:qFormat/>
    <w:pPr>
      <w:pBdr/>
      <w:spacing w:after="80"/>
      <w:ind/>
      <w:contextualSpacing w:val="true"/>
    </w:pPr>
    <w:rPr>
      <w:rFonts w:ascii="Arial" w:hAnsi="Arial" w:eastAsia="Arial" w:cs="Arial"/>
      <w:spacing w:val="-10"/>
      <w:sz w:val="56"/>
      <w:szCs w:val="56"/>
    </w:rPr>
  </w:style>
  <w:style w:type="character" w:styleId="1647" w:customStyle="1">
    <w:name w:val="Titel Zchn"/>
    <w:basedOn w:val="1508"/>
    <w:link w:val="1646"/>
    <w:uiPriority w:val="10"/>
    <w:pPr>
      <w:pBdr/>
      <w:spacing/>
      <w:ind/>
    </w:pPr>
    <w:rPr>
      <w:rFonts w:ascii="Arial" w:hAnsi="Arial" w:eastAsia="Arial" w:cs="Arial"/>
      <w:spacing w:val="-10"/>
      <w:sz w:val="56"/>
      <w:szCs w:val="56"/>
    </w:rPr>
  </w:style>
  <w:style w:type="paragraph" w:styleId="1648">
    <w:name w:val="Subtitle"/>
    <w:basedOn w:val="1498"/>
    <w:next w:val="1498"/>
    <w:link w:val="1649"/>
    <w:uiPriority w:val="11"/>
    <w:qFormat/>
    <w:pPr>
      <w:numPr>
        <w:ilvl w:val="1"/>
      </w:numPr>
      <w:pBdr/>
      <w:spacing/>
      <w:ind/>
    </w:pPr>
    <w:rPr>
      <w:color w:val="595959" w:themeColor="text1" w:themeTint="A6"/>
      <w:spacing w:val="15"/>
      <w:sz w:val="28"/>
      <w:szCs w:val="28"/>
    </w:rPr>
  </w:style>
  <w:style w:type="character" w:styleId="1649" w:customStyle="1">
    <w:name w:val="Untertitel Zchn"/>
    <w:basedOn w:val="1508"/>
    <w:link w:val="1648"/>
    <w:uiPriority w:val="11"/>
    <w:pPr>
      <w:pBdr/>
      <w:spacing/>
      <w:ind/>
    </w:pPr>
    <w:rPr>
      <w:color w:val="595959" w:themeColor="text1" w:themeTint="A6"/>
      <w:spacing w:val="15"/>
      <w:sz w:val="28"/>
      <w:szCs w:val="28"/>
    </w:rPr>
  </w:style>
  <w:style w:type="paragraph" w:styleId="1650">
    <w:name w:val="Quote"/>
    <w:basedOn w:val="1498"/>
    <w:next w:val="1498"/>
    <w:link w:val="1651"/>
    <w:uiPriority w:val="29"/>
    <w:qFormat/>
    <w:pPr>
      <w:pBdr/>
      <w:spacing w:before="160"/>
      <w:ind/>
      <w:jc w:val="center"/>
    </w:pPr>
    <w:rPr>
      <w:i/>
      <w:iCs/>
      <w:color w:val="404040" w:themeColor="text1" w:themeTint="BF"/>
    </w:rPr>
  </w:style>
  <w:style w:type="character" w:styleId="1651" w:customStyle="1">
    <w:name w:val="Zitat Zchn"/>
    <w:basedOn w:val="1508"/>
    <w:link w:val="1650"/>
    <w:uiPriority w:val="29"/>
    <w:pPr>
      <w:pBdr/>
      <w:spacing/>
      <w:ind/>
    </w:pPr>
    <w:rPr>
      <w:i/>
      <w:iCs/>
      <w:color w:val="404040" w:themeColor="text1" w:themeTint="BF"/>
    </w:rPr>
  </w:style>
  <w:style w:type="paragraph" w:styleId="1652">
    <w:name w:val="List Paragraph"/>
    <w:basedOn w:val="1498"/>
    <w:uiPriority w:val="34"/>
    <w:qFormat/>
    <w:pPr>
      <w:pBdr/>
      <w:spacing/>
      <w:ind w:left="720"/>
      <w:contextualSpacing w:val="true"/>
    </w:pPr>
  </w:style>
  <w:style w:type="character" w:styleId="1653">
    <w:name w:val="Intense Emphasis"/>
    <w:basedOn w:val="1508"/>
    <w:uiPriority w:val="21"/>
    <w:qFormat/>
    <w:pPr>
      <w:pBdr/>
      <w:spacing/>
      <w:ind/>
    </w:pPr>
    <w:rPr>
      <w:i/>
      <w:iCs/>
      <w:color w:val="0f4761" w:themeColor="accent1" w:themeShade="BF"/>
    </w:rPr>
  </w:style>
  <w:style w:type="paragraph" w:styleId="1654">
    <w:name w:val="Intense Quote"/>
    <w:basedOn w:val="1498"/>
    <w:next w:val="1498"/>
    <w:link w:val="165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55" w:customStyle="1">
    <w:name w:val="Intensives Zitat Zchn"/>
    <w:basedOn w:val="1508"/>
    <w:link w:val="1654"/>
    <w:uiPriority w:val="30"/>
    <w:pPr>
      <w:pBdr/>
      <w:spacing/>
      <w:ind/>
    </w:pPr>
    <w:rPr>
      <w:i/>
      <w:iCs/>
      <w:color w:val="0f4761" w:themeColor="accent1" w:themeShade="BF"/>
    </w:rPr>
  </w:style>
  <w:style w:type="character" w:styleId="1656">
    <w:name w:val="Intense Reference"/>
    <w:basedOn w:val="1508"/>
    <w:uiPriority w:val="32"/>
    <w:qFormat/>
    <w:pPr>
      <w:pBdr/>
      <w:spacing/>
      <w:ind/>
    </w:pPr>
    <w:rPr>
      <w:b/>
      <w:bCs/>
      <w:smallCaps/>
      <w:color w:val="0f4761" w:themeColor="accent1" w:themeShade="BF"/>
      <w:spacing w:val="5"/>
    </w:rPr>
  </w:style>
  <w:style w:type="paragraph" w:styleId="1657">
    <w:name w:val="No Spacing"/>
    <w:basedOn w:val="1498"/>
    <w:uiPriority w:val="1"/>
    <w:qFormat/>
    <w:pPr>
      <w:pBdr/>
      <w:spacing/>
      <w:ind/>
    </w:pPr>
  </w:style>
  <w:style w:type="character" w:styleId="1658">
    <w:name w:val="Subtle Emphasis"/>
    <w:basedOn w:val="1508"/>
    <w:uiPriority w:val="19"/>
    <w:qFormat/>
    <w:pPr>
      <w:pBdr/>
      <w:spacing/>
      <w:ind/>
    </w:pPr>
    <w:rPr>
      <w:i/>
      <w:iCs/>
      <w:color w:val="404040" w:themeColor="text1" w:themeTint="BF"/>
    </w:rPr>
  </w:style>
  <w:style w:type="character" w:styleId="1659">
    <w:name w:val="Emphasis"/>
    <w:basedOn w:val="1508"/>
    <w:uiPriority w:val="20"/>
    <w:qFormat/>
    <w:pPr>
      <w:pBdr/>
      <w:spacing/>
      <w:ind/>
    </w:pPr>
    <w:rPr>
      <w:i/>
      <w:iCs/>
    </w:rPr>
  </w:style>
  <w:style w:type="character" w:styleId="1660">
    <w:name w:val="Strong"/>
    <w:basedOn w:val="1508"/>
    <w:uiPriority w:val="22"/>
    <w:qFormat/>
    <w:pPr>
      <w:pBdr/>
      <w:spacing/>
      <w:ind/>
    </w:pPr>
    <w:rPr>
      <w:b/>
      <w:bCs/>
    </w:rPr>
  </w:style>
  <w:style w:type="character" w:styleId="1661">
    <w:name w:val="Subtle Reference"/>
    <w:basedOn w:val="1508"/>
    <w:uiPriority w:val="31"/>
    <w:qFormat/>
    <w:pPr>
      <w:pBdr/>
      <w:spacing/>
      <w:ind/>
    </w:pPr>
    <w:rPr>
      <w:smallCaps/>
      <w:color w:val="5a5a5a" w:themeColor="text1" w:themeTint="A5"/>
    </w:rPr>
  </w:style>
  <w:style w:type="character" w:styleId="1662">
    <w:name w:val="Book Title"/>
    <w:basedOn w:val="1508"/>
    <w:uiPriority w:val="33"/>
    <w:qFormat/>
    <w:pPr>
      <w:pBdr/>
      <w:spacing/>
      <w:ind/>
    </w:pPr>
    <w:rPr>
      <w:b/>
      <w:bCs/>
      <w:i/>
      <w:iCs/>
      <w:spacing w:val="5"/>
    </w:rPr>
  </w:style>
  <w:style w:type="paragraph" w:styleId="1663">
    <w:name w:val="Header"/>
    <w:basedOn w:val="1498"/>
    <w:link w:val="1664"/>
    <w:uiPriority w:val="99"/>
    <w:unhideWhenUsed/>
    <w:pPr>
      <w:pBdr/>
      <w:tabs>
        <w:tab w:val="center" w:leader="none" w:pos="4844"/>
        <w:tab w:val="right" w:leader="none" w:pos="9689"/>
      </w:tabs>
      <w:spacing/>
      <w:ind/>
    </w:pPr>
  </w:style>
  <w:style w:type="character" w:styleId="1664" w:customStyle="1">
    <w:name w:val="Kopfzeile Zchn"/>
    <w:basedOn w:val="1508"/>
    <w:link w:val="1663"/>
    <w:uiPriority w:val="99"/>
    <w:pPr>
      <w:pBdr/>
      <w:spacing/>
      <w:ind/>
    </w:pPr>
  </w:style>
  <w:style w:type="paragraph" w:styleId="1665">
    <w:name w:val="Footer"/>
    <w:basedOn w:val="1498"/>
    <w:link w:val="1666"/>
    <w:uiPriority w:val="99"/>
    <w:unhideWhenUsed/>
    <w:pPr>
      <w:pBdr/>
      <w:tabs>
        <w:tab w:val="center" w:leader="none" w:pos="4844"/>
        <w:tab w:val="right" w:leader="none" w:pos="9689"/>
      </w:tabs>
      <w:spacing/>
      <w:ind/>
    </w:pPr>
  </w:style>
  <w:style w:type="character" w:styleId="1666" w:customStyle="1">
    <w:name w:val="Fußzeile Zchn"/>
    <w:basedOn w:val="1508"/>
    <w:link w:val="1665"/>
    <w:uiPriority w:val="99"/>
    <w:pPr>
      <w:pBdr/>
      <w:spacing/>
      <w:ind/>
    </w:pPr>
  </w:style>
  <w:style w:type="paragraph" w:styleId="1667">
    <w:name w:val="Caption"/>
    <w:basedOn w:val="1498"/>
    <w:next w:val="1498"/>
    <w:uiPriority w:val="35"/>
    <w:unhideWhenUsed/>
    <w:qFormat/>
    <w:pPr>
      <w:pBdr/>
      <w:spacing w:after="200"/>
      <w:ind/>
    </w:pPr>
    <w:rPr>
      <w:i/>
      <w:iCs/>
      <w:color w:val="0e2841" w:themeColor="text2"/>
      <w:sz w:val="18"/>
      <w:szCs w:val="18"/>
    </w:rPr>
  </w:style>
  <w:style w:type="paragraph" w:styleId="1668">
    <w:name w:val="footnote text"/>
    <w:basedOn w:val="1498"/>
    <w:link w:val="1669"/>
    <w:uiPriority w:val="99"/>
    <w:semiHidden/>
    <w:unhideWhenUsed/>
    <w:pPr>
      <w:pBdr/>
      <w:spacing/>
      <w:ind/>
    </w:pPr>
  </w:style>
  <w:style w:type="character" w:styleId="1669" w:customStyle="1">
    <w:name w:val="Fußnotentext Zchn"/>
    <w:basedOn w:val="1508"/>
    <w:link w:val="1668"/>
    <w:uiPriority w:val="99"/>
    <w:semiHidden/>
    <w:pPr>
      <w:pBdr/>
      <w:spacing/>
      <w:ind/>
    </w:pPr>
    <w:rPr>
      <w:sz w:val="20"/>
      <w:szCs w:val="20"/>
    </w:rPr>
  </w:style>
  <w:style w:type="character" w:styleId="1670">
    <w:name w:val="footnote reference"/>
    <w:basedOn w:val="1508"/>
    <w:uiPriority w:val="99"/>
    <w:semiHidden/>
    <w:unhideWhenUsed/>
    <w:pPr>
      <w:pBdr/>
      <w:spacing/>
      <w:ind/>
    </w:pPr>
    <w:rPr>
      <w:vertAlign w:val="superscript"/>
    </w:rPr>
  </w:style>
  <w:style w:type="paragraph" w:styleId="1671">
    <w:name w:val="endnote text"/>
    <w:basedOn w:val="1498"/>
    <w:link w:val="1672"/>
    <w:uiPriority w:val="99"/>
    <w:semiHidden/>
    <w:unhideWhenUsed/>
    <w:pPr>
      <w:pBdr/>
      <w:spacing/>
      <w:ind/>
    </w:pPr>
  </w:style>
  <w:style w:type="character" w:styleId="1672" w:customStyle="1">
    <w:name w:val="Endnotentext Zchn"/>
    <w:basedOn w:val="1508"/>
    <w:link w:val="1671"/>
    <w:uiPriority w:val="99"/>
    <w:semiHidden/>
    <w:pPr>
      <w:pBdr/>
      <w:spacing/>
      <w:ind/>
    </w:pPr>
    <w:rPr>
      <w:sz w:val="20"/>
      <w:szCs w:val="20"/>
    </w:rPr>
  </w:style>
  <w:style w:type="character" w:styleId="1673">
    <w:name w:val="endnote reference"/>
    <w:basedOn w:val="1508"/>
    <w:uiPriority w:val="99"/>
    <w:semiHidden/>
    <w:unhideWhenUsed/>
    <w:pPr>
      <w:pBdr/>
      <w:spacing/>
      <w:ind/>
    </w:pPr>
    <w:rPr>
      <w:vertAlign w:val="superscript"/>
    </w:rPr>
  </w:style>
  <w:style w:type="character" w:styleId="1674">
    <w:name w:val="Hyperlink"/>
    <w:basedOn w:val="1508"/>
    <w:uiPriority w:val="99"/>
    <w:unhideWhenUsed/>
    <w:pPr>
      <w:pBdr/>
      <w:spacing/>
      <w:ind/>
    </w:pPr>
    <w:rPr>
      <w:color w:val="467886" w:themeColor="hyperlink"/>
      <w:u w:val="single"/>
    </w:rPr>
  </w:style>
  <w:style w:type="character" w:styleId="1675">
    <w:name w:val="FollowedHyperlink"/>
    <w:basedOn w:val="1508"/>
    <w:uiPriority w:val="99"/>
    <w:semiHidden/>
    <w:unhideWhenUsed/>
    <w:pPr>
      <w:pBdr/>
      <w:spacing/>
      <w:ind/>
    </w:pPr>
    <w:rPr>
      <w:color w:val="96607d" w:themeColor="followedHyperlink"/>
      <w:u w:val="single"/>
    </w:rPr>
  </w:style>
  <w:style w:type="paragraph" w:styleId="1676">
    <w:name w:val="toc 1"/>
    <w:basedOn w:val="1498"/>
    <w:next w:val="1498"/>
    <w:uiPriority w:val="39"/>
    <w:unhideWhenUsed/>
    <w:pPr>
      <w:pBdr/>
      <w:spacing w:after="100"/>
      <w:ind/>
    </w:pPr>
  </w:style>
  <w:style w:type="paragraph" w:styleId="1677">
    <w:name w:val="toc 2"/>
    <w:basedOn w:val="1498"/>
    <w:next w:val="1498"/>
    <w:uiPriority w:val="39"/>
    <w:unhideWhenUsed/>
    <w:pPr>
      <w:pBdr/>
      <w:spacing w:after="100"/>
      <w:ind w:left="220"/>
    </w:pPr>
  </w:style>
  <w:style w:type="paragraph" w:styleId="1678">
    <w:name w:val="toc 3"/>
    <w:basedOn w:val="1498"/>
    <w:next w:val="1498"/>
    <w:uiPriority w:val="39"/>
    <w:unhideWhenUsed/>
    <w:pPr>
      <w:pBdr/>
      <w:spacing w:after="100"/>
      <w:ind w:left="440"/>
    </w:pPr>
  </w:style>
  <w:style w:type="paragraph" w:styleId="1679">
    <w:name w:val="toc 4"/>
    <w:basedOn w:val="1498"/>
    <w:next w:val="1498"/>
    <w:uiPriority w:val="39"/>
    <w:unhideWhenUsed/>
    <w:pPr>
      <w:pBdr/>
      <w:spacing w:after="100"/>
      <w:ind w:left="660"/>
    </w:pPr>
  </w:style>
  <w:style w:type="paragraph" w:styleId="1680">
    <w:name w:val="toc 5"/>
    <w:basedOn w:val="1498"/>
    <w:next w:val="1498"/>
    <w:uiPriority w:val="39"/>
    <w:unhideWhenUsed/>
    <w:pPr>
      <w:pBdr/>
      <w:spacing w:after="100"/>
      <w:ind w:left="880"/>
    </w:pPr>
  </w:style>
  <w:style w:type="paragraph" w:styleId="1681">
    <w:name w:val="toc 6"/>
    <w:basedOn w:val="1498"/>
    <w:next w:val="1498"/>
    <w:uiPriority w:val="39"/>
    <w:unhideWhenUsed/>
    <w:pPr>
      <w:pBdr/>
      <w:spacing w:after="100"/>
      <w:ind w:left="1100"/>
    </w:pPr>
  </w:style>
  <w:style w:type="paragraph" w:styleId="1682">
    <w:name w:val="toc 7"/>
    <w:basedOn w:val="1498"/>
    <w:next w:val="1498"/>
    <w:uiPriority w:val="39"/>
    <w:unhideWhenUsed/>
    <w:pPr>
      <w:pBdr/>
      <w:spacing w:after="100"/>
      <w:ind w:left="1320"/>
    </w:pPr>
  </w:style>
  <w:style w:type="paragraph" w:styleId="1683">
    <w:name w:val="toc 8"/>
    <w:basedOn w:val="1498"/>
    <w:next w:val="1498"/>
    <w:uiPriority w:val="39"/>
    <w:unhideWhenUsed/>
    <w:pPr>
      <w:pBdr/>
      <w:spacing w:after="100"/>
      <w:ind w:left="1540"/>
    </w:pPr>
  </w:style>
  <w:style w:type="paragraph" w:styleId="1684">
    <w:name w:val="toc 9"/>
    <w:basedOn w:val="1498"/>
    <w:next w:val="1498"/>
    <w:uiPriority w:val="39"/>
    <w:unhideWhenUsed/>
    <w:pPr>
      <w:pBdr/>
      <w:spacing w:after="100"/>
      <w:ind w:left="1760"/>
    </w:pPr>
  </w:style>
  <w:style w:type="character" w:styleId="1685">
    <w:name w:val="Placeholder Text"/>
    <w:basedOn w:val="1508"/>
    <w:uiPriority w:val="99"/>
    <w:semiHidden/>
    <w:pPr>
      <w:pBdr/>
      <w:spacing/>
      <w:ind/>
    </w:pPr>
    <w:rPr>
      <w:color w:val="666666"/>
    </w:rPr>
  </w:style>
  <w:style w:type="paragraph" w:styleId="1686">
    <w:name w:val="TOC Heading"/>
    <w:uiPriority w:val="39"/>
    <w:unhideWhenUsed/>
    <w:pPr>
      <w:pBdr/>
      <w:spacing/>
      <w:ind/>
    </w:pPr>
  </w:style>
  <w:style w:type="paragraph" w:styleId="1687">
    <w:name w:val="table of figures"/>
    <w:basedOn w:val="1498"/>
    <w:next w:val="1498"/>
    <w:uiPriority w:val="99"/>
    <w:unhideWhenUsed/>
    <w:pPr>
      <w:pBdr/>
      <w:spacing/>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88B97-277E-49FE-9101-2C897C1B8CD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Udo Schmidt</dc:creator>
  <cp:keywords/>
  <dc:description/>
  <cp:revision>338</cp:revision>
  <dcterms:created xsi:type="dcterms:W3CDTF">2026-01-03T17:48:00Z</dcterms:created>
  <dcterms:modified xsi:type="dcterms:W3CDTF">2026-10-06T08:19:44Z</dcterms:modified>
</cp:coreProperties>
</file>